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5" w:type="dxa"/>
        <w:tblBorders>
          <w:top w:val="none" w:sz="0" w:space="0" w:color="auto"/>
          <w:insideH w:val="single" w:sz="8" w:space="0" w:color="0000FF"/>
        </w:tblBorders>
        <w:tblCellMar>
          <w:top w:w="113" w:type="dxa"/>
          <w:left w:w="85" w:type="dxa"/>
          <w:bottom w:w="113" w:type="dxa"/>
          <w:right w:w="85" w:type="dxa"/>
        </w:tblCellMar>
        <w:tblLook w:val="04A0" w:firstRow="1" w:lastRow="0" w:firstColumn="1" w:lastColumn="0" w:noHBand="0" w:noVBand="1"/>
      </w:tblPr>
      <w:tblGrid>
        <w:gridCol w:w="1706"/>
        <w:gridCol w:w="8769"/>
      </w:tblGrid>
      <w:tr w:rsidR="00A63E9A" w:rsidRPr="00821692" w14:paraId="2B1B5B52" w14:textId="77777777" w:rsidTr="001C47B9">
        <w:trPr>
          <w:trHeight w:val="402"/>
        </w:trPr>
        <w:tc>
          <w:tcPr>
            <w:tcW w:w="1706" w:type="dxa"/>
            <w:tcBorders>
              <w:top w:val="nil"/>
              <w:bottom w:val="single" w:sz="12" w:space="0" w:color="auto"/>
            </w:tcBorders>
            <w:shd w:val="clear" w:color="auto" w:fill="auto"/>
          </w:tcPr>
          <w:p w14:paraId="254E0F63" w14:textId="77777777" w:rsidR="00A63E9A" w:rsidRPr="00821692" w:rsidRDefault="00A63E9A" w:rsidP="006E041F">
            <w:pPr>
              <w:snapToGrid w:val="0"/>
              <w:spacing w:before="20" w:afterLines="40" w:after="96" w:line="240" w:lineRule="exact"/>
              <w:rPr>
                <w:rFonts w:ascii="Arial" w:hAnsi="Arial" w:cs="Arial"/>
                <w:b/>
                <w:bCs/>
                <w:i/>
                <w:color w:val="002060"/>
                <w:szCs w:val="20"/>
              </w:rPr>
            </w:pPr>
            <w:r w:rsidRPr="00821692">
              <w:rPr>
                <w:rFonts w:ascii="Arial" w:hAnsi="Arial" w:cs="Arial"/>
                <w:b/>
                <w:bCs/>
                <w:color w:val="002060"/>
                <w:szCs w:val="20"/>
              </w:rPr>
              <w:t>Position</w:t>
            </w:r>
          </w:p>
        </w:tc>
        <w:tc>
          <w:tcPr>
            <w:tcW w:w="8769" w:type="dxa"/>
            <w:tcBorders>
              <w:top w:val="nil"/>
              <w:bottom w:val="single" w:sz="12" w:space="0" w:color="auto"/>
            </w:tcBorders>
            <w:shd w:val="clear" w:color="auto" w:fill="auto"/>
          </w:tcPr>
          <w:p w14:paraId="3EB11910" w14:textId="1CCA3C74" w:rsidR="00EA3475" w:rsidRPr="00821692" w:rsidRDefault="00991C03" w:rsidP="00EA3475">
            <w:pPr>
              <w:snapToGrid w:val="0"/>
              <w:spacing w:before="20" w:afterLines="40" w:after="96" w:line="240" w:lineRule="exact"/>
              <w:rPr>
                <w:rFonts w:ascii="Arial" w:eastAsiaTheme="majorEastAsia" w:hAnsi="Arial" w:cstheme="majorBidi"/>
                <w:b/>
                <w:color w:val="474747"/>
                <w:szCs w:val="20"/>
              </w:rPr>
            </w:pPr>
            <w:r w:rsidRPr="00821692">
              <w:rPr>
                <w:rFonts w:ascii="Arial" w:eastAsiaTheme="majorEastAsia" w:hAnsi="Arial" w:cstheme="majorBidi"/>
                <w:b/>
                <w:color w:val="474747"/>
                <w:szCs w:val="20"/>
              </w:rPr>
              <w:t>Student Buyer and Supplier Quality Engineer</w:t>
            </w:r>
          </w:p>
        </w:tc>
      </w:tr>
      <w:tr w:rsidR="00A63E9A" w:rsidRPr="00821692" w14:paraId="47053CE8" w14:textId="77777777" w:rsidTr="001C47B9">
        <w:trPr>
          <w:trHeight w:val="319"/>
        </w:trPr>
        <w:tc>
          <w:tcPr>
            <w:tcW w:w="1706" w:type="dxa"/>
            <w:tcBorders>
              <w:top w:val="single" w:sz="12" w:space="0" w:color="auto"/>
              <w:bottom w:val="single" w:sz="4" w:space="0" w:color="auto"/>
            </w:tcBorders>
            <w:shd w:val="clear" w:color="auto" w:fill="auto"/>
          </w:tcPr>
          <w:p w14:paraId="538B30D4" w14:textId="77777777" w:rsidR="00A63E9A" w:rsidRPr="00821692" w:rsidRDefault="00A63E9A" w:rsidP="006E041F">
            <w:pPr>
              <w:snapToGrid w:val="0"/>
              <w:spacing w:afterLines="40" w:after="96" w:line="240" w:lineRule="exact"/>
              <w:rPr>
                <w:rFonts w:ascii="Arial" w:hAnsi="Arial" w:cs="Arial"/>
                <w:b/>
                <w:bCs/>
                <w:color w:val="002060"/>
                <w:szCs w:val="20"/>
              </w:rPr>
            </w:pPr>
            <w:r w:rsidRPr="00821692">
              <w:rPr>
                <w:rFonts w:ascii="Arial" w:hAnsi="Arial" w:cs="Arial"/>
                <w:b/>
                <w:bCs/>
                <w:color w:val="002060"/>
                <w:szCs w:val="20"/>
              </w:rPr>
              <w:t>Location</w:t>
            </w:r>
          </w:p>
        </w:tc>
        <w:tc>
          <w:tcPr>
            <w:tcW w:w="8769" w:type="dxa"/>
            <w:tcBorders>
              <w:top w:val="single" w:sz="12" w:space="0" w:color="auto"/>
              <w:bottom w:val="single" w:sz="4" w:space="0" w:color="auto"/>
            </w:tcBorders>
            <w:shd w:val="clear" w:color="auto" w:fill="auto"/>
          </w:tcPr>
          <w:p w14:paraId="1DDD1F44" w14:textId="4D5B9020" w:rsidR="00A63E9A" w:rsidRPr="00821692" w:rsidRDefault="002A3A8D" w:rsidP="006E041F">
            <w:pPr>
              <w:snapToGrid w:val="0"/>
              <w:spacing w:afterLines="40" w:after="96" w:line="240" w:lineRule="exact"/>
              <w:rPr>
                <w:rFonts w:ascii="Arial" w:hAnsi="Arial" w:cs="Arial"/>
                <w:bCs/>
                <w:szCs w:val="20"/>
              </w:rPr>
            </w:pPr>
            <w:r w:rsidRPr="00821692">
              <w:rPr>
                <w:rFonts w:ascii="Arial" w:hAnsi="Arial" w:cs="Arial"/>
                <w:bCs/>
                <w:szCs w:val="20"/>
              </w:rPr>
              <w:t>Gillingham, UK</w:t>
            </w:r>
          </w:p>
        </w:tc>
      </w:tr>
      <w:tr w:rsidR="00A63E9A" w:rsidRPr="00821692" w14:paraId="5DA40EF0" w14:textId="77777777" w:rsidTr="001C47B9">
        <w:trPr>
          <w:trHeight w:val="6015"/>
        </w:trPr>
        <w:tc>
          <w:tcPr>
            <w:tcW w:w="1706" w:type="dxa"/>
            <w:tcBorders>
              <w:top w:val="single" w:sz="4" w:space="0" w:color="auto"/>
              <w:bottom w:val="nil"/>
            </w:tcBorders>
            <w:shd w:val="clear" w:color="auto" w:fill="auto"/>
          </w:tcPr>
          <w:p w14:paraId="2EFE7BE1" w14:textId="77777777" w:rsidR="00A63E9A" w:rsidRPr="00821692" w:rsidRDefault="00A63E9A" w:rsidP="006E041F">
            <w:pPr>
              <w:snapToGrid w:val="0"/>
              <w:spacing w:afterLines="40" w:after="96" w:line="240" w:lineRule="exact"/>
              <w:rPr>
                <w:rFonts w:ascii="Arial" w:hAnsi="Arial" w:cs="Arial"/>
                <w:b/>
                <w:bCs/>
                <w:color w:val="002060"/>
                <w:szCs w:val="20"/>
              </w:rPr>
            </w:pPr>
            <w:r w:rsidRPr="00821692">
              <w:rPr>
                <w:rFonts w:ascii="Arial" w:hAnsi="Arial" w:cs="Arial"/>
                <w:b/>
                <w:bCs/>
                <w:color w:val="002060"/>
                <w:szCs w:val="20"/>
              </w:rPr>
              <w:t>About us</w:t>
            </w:r>
          </w:p>
          <w:p w14:paraId="73E33A48" w14:textId="77777777" w:rsidR="00A63E9A" w:rsidRPr="00821692" w:rsidRDefault="00A63E9A" w:rsidP="006E041F">
            <w:pPr>
              <w:snapToGrid w:val="0"/>
              <w:spacing w:afterLines="40" w:after="96" w:line="240" w:lineRule="exact"/>
              <w:rPr>
                <w:rFonts w:ascii="Arial" w:hAnsi="Arial" w:cs="Arial"/>
                <w:b/>
                <w:bCs/>
                <w:color w:val="002060"/>
                <w:szCs w:val="20"/>
              </w:rPr>
            </w:pPr>
          </w:p>
          <w:p w14:paraId="6F3FCA4C" w14:textId="77777777" w:rsidR="00A63E9A" w:rsidRPr="00821692" w:rsidRDefault="00A63E9A" w:rsidP="006E041F">
            <w:pPr>
              <w:snapToGrid w:val="0"/>
              <w:spacing w:afterLines="40" w:after="96" w:line="240" w:lineRule="exact"/>
              <w:rPr>
                <w:rFonts w:ascii="Arial" w:hAnsi="Arial" w:cs="Arial"/>
                <w:b/>
                <w:bCs/>
                <w:color w:val="002060"/>
                <w:szCs w:val="20"/>
              </w:rPr>
            </w:pPr>
          </w:p>
          <w:p w14:paraId="7D40C668" w14:textId="77777777" w:rsidR="00A63E9A" w:rsidRPr="00821692" w:rsidRDefault="00A63E9A" w:rsidP="006E041F">
            <w:pPr>
              <w:snapToGrid w:val="0"/>
              <w:spacing w:afterLines="40" w:after="96" w:line="240" w:lineRule="exact"/>
              <w:rPr>
                <w:rFonts w:ascii="Arial" w:hAnsi="Arial" w:cs="Arial"/>
                <w:b/>
                <w:bCs/>
                <w:color w:val="002060"/>
                <w:szCs w:val="20"/>
              </w:rPr>
            </w:pPr>
          </w:p>
        </w:tc>
        <w:tc>
          <w:tcPr>
            <w:tcW w:w="8769" w:type="dxa"/>
            <w:tcBorders>
              <w:top w:val="single" w:sz="4" w:space="0" w:color="auto"/>
              <w:bottom w:val="nil"/>
            </w:tcBorders>
            <w:shd w:val="clear" w:color="auto" w:fill="auto"/>
          </w:tcPr>
          <w:p w14:paraId="39088D47" w14:textId="77777777" w:rsidR="00A63E9A" w:rsidRPr="00821692" w:rsidRDefault="00A63E9A" w:rsidP="006E041F">
            <w:pPr>
              <w:rPr>
                <w:rFonts w:ascii="Arial" w:eastAsia="Arial" w:hAnsi="Arial" w:cs="Arial"/>
                <w:szCs w:val="20"/>
              </w:rPr>
            </w:pPr>
            <w:r w:rsidRPr="00821692">
              <w:rPr>
                <w:rFonts w:ascii="Arial" w:eastAsia="Arial" w:hAnsi="Arial" w:cs="Arial"/>
                <w:b/>
                <w:bCs/>
                <w:szCs w:val="20"/>
              </w:rPr>
              <w:t>PHINIA:</w:t>
            </w:r>
            <w:r w:rsidRPr="00821692">
              <w:rPr>
                <w:rFonts w:ascii="Arial" w:eastAsia="Arial" w:hAnsi="Arial" w:cs="Arial"/>
                <w:szCs w:val="20"/>
              </w:rPr>
              <w:t xml:space="preserve"> Advancing sustainability today, powering carbon-free tomorrow </w:t>
            </w:r>
          </w:p>
          <w:p w14:paraId="18209C43" w14:textId="77777777" w:rsidR="00A63E9A" w:rsidRPr="00821692" w:rsidRDefault="00A63E9A" w:rsidP="006E041F">
            <w:pPr>
              <w:rPr>
                <w:rFonts w:ascii="Arial" w:eastAsia="Arial" w:hAnsi="Arial" w:cs="Arial"/>
                <w:szCs w:val="20"/>
              </w:rPr>
            </w:pPr>
          </w:p>
          <w:p w14:paraId="3617640C" w14:textId="77777777" w:rsidR="00A63E9A" w:rsidRPr="00821692" w:rsidRDefault="00A63E9A" w:rsidP="006E041F">
            <w:pPr>
              <w:rPr>
                <w:rFonts w:ascii="Arial" w:hAnsi="Arial" w:cs="Arial"/>
                <w:szCs w:val="20"/>
              </w:rPr>
            </w:pPr>
            <w:r w:rsidRPr="00821692">
              <w:rPr>
                <w:rFonts w:ascii="Arial" w:hAnsi="Arial" w:cs="Arial"/>
                <w:szCs w:val="20"/>
              </w:rPr>
              <w:t>At PHINIA, we create premium fuel systems, electrical systems and aftermarket parts for internal combustion engine (ICE) vehicles and industrial applications. We make sure our products are clean, efficient and high-value, because we know the actions we take today will have a profound impact on the world tomorrow. Our goal? The cleanest ICE technology: carbon-free combustion.</w:t>
            </w:r>
          </w:p>
          <w:p w14:paraId="3A65F28E" w14:textId="77777777" w:rsidR="00A63E9A" w:rsidRPr="00821692" w:rsidRDefault="00A63E9A" w:rsidP="006E041F">
            <w:pPr>
              <w:rPr>
                <w:rFonts w:ascii="Arial" w:hAnsi="Arial" w:cs="Arial"/>
                <w:szCs w:val="20"/>
              </w:rPr>
            </w:pPr>
          </w:p>
          <w:p w14:paraId="74171563" w14:textId="77777777" w:rsidR="00A63E9A" w:rsidRPr="00821692" w:rsidRDefault="00A63E9A" w:rsidP="006E041F">
            <w:pPr>
              <w:rPr>
                <w:rFonts w:ascii="Arial" w:hAnsi="Arial" w:cs="Arial"/>
                <w:szCs w:val="20"/>
              </w:rPr>
            </w:pPr>
            <w:r w:rsidRPr="00821692">
              <w:rPr>
                <w:rFonts w:ascii="Arial" w:hAnsi="Arial" w:cs="Arial"/>
                <w:szCs w:val="20"/>
              </w:rPr>
              <w:t xml:space="preserve">Always, PHINIA puts quality first, continuing our legacy with over a century of rich expertise and technological innovation. The name PHINIA has roots related to “bright” and “future,” representing our confidence and commitment to bettering the world. </w:t>
            </w:r>
          </w:p>
          <w:p w14:paraId="349C7512" w14:textId="77777777" w:rsidR="00A63E9A" w:rsidRPr="00821692" w:rsidRDefault="00A63E9A" w:rsidP="006E041F">
            <w:pPr>
              <w:spacing w:line="257" w:lineRule="auto"/>
              <w:rPr>
                <w:rFonts w:ascii="Arial" w:hAnsi="Arial" w:cs="Arial"/>
                <w:szCs w:val="20"/>
              </w:rPr>
            </w:pPr>
          </w:p>
          <w:p w14:paraId="714401FC" w14:textId="77777777" w:rsidR="00A63E9A" w:rsidRPr="00821692" w:rsidRDefault="00A63E9A" w:rsidP="006E041F">
            <w:pPr>
              <w:spacing w:line="257" w:lineRule="auto"/>
              <w:rPr>
                <w:rFonts w:ascii="Arial" w:hAnsi="Arial" w:cs="Arial"/>
                <w:szCs w:val="20"/>
              </w:rPr>
            </w:pPr>
            <w:r w:rsidRPr="00821692">
              <w:rPr>
                <w:rFonts w:ascii="Arial" w:eastAsia="Arial" w:hAnsi="Arial" w:cs="Arial"/>
                <w:b/>
                <w:bCs/>
                <w:szCs w:val="20"/>
              </w:rPr>
              <w:t xml:space="preserve">Our Culture </w:t>
            </w:r>
          </w:p>
          <w:p w14:paraId="590D2791" w14:textId="54459872" w:rsidR="00A63E9A" w:rsidRPr="00821692" w:rsidRDefault="00A63E9A" w:rsidP="006E041F">
            <w:pPr>
              <w:spacing w:line="257" w:lineRule="auto"/>
              <w:rPr>
                <w:rFonts w:ascii="Arial" w:eastAsia="Arial" w:hAnsi="Arial" w:cs="Arial"/>
                <w:szCs w:val="20"/>
              </w:rPr>
            </w:pPr>
            <w:r w:rsidRPr="00821692">
              <w:rPr>
                <w:rFonts w:ascii="Arial" w:eastAsia="Arial" w:hAnsi="Arial" w:cs="Arial"/>
                <w:szCs w:val="20"/>
              </w:rPr>
              <w:t xml:space="preserve">We believe health and safety of our employees are a top priority, we care about our local communities and the global environment. PHINIA promotes and nurtures a diverse and inclusive environment, </w:t>
            </w:r>
            <w:r w:rsidR="00821692" w:rsidRPr="00821692">
              <w:rPr>
                <w:rFonts w:ascii="Arial" w:eastAsia="Arial" w:hAnsi="Arial" w:cs="Arial"/>
                <w:szCs w:val="20"/>
              </w:rPr>
              <w:t>honours</w:t>
            </w:r>
            <w:r w:rsidRPr="00821692">
              <w:rPr>
                <w:rFonts w:ascii="Arial" w:eastAsia="Arial" w:hAnsi="Arial" w:cs="Arial"/>
                <w:szCs w:val="20"/>
              </w:rPr>
              <w:t xml:space="preserve"> integrity, strives for excellence, commits to responsibility for our communities and the environment, and builds on the power of collaboration.  </w:t>
            </w:r>
          </w:p>
          <w:p w14:paraId="68B3CBCD" w14:textId="77777777" w:rsidR="00A63E9A" w:rsidRPr="00821692" w:rsidRDefault="00A63E9A" w:rsidP="006E041F">
            <w:pPr>
              <w:spacing w:line="257" w:lineRule="auto"/>
              <w:rPr>
                <w:rFonts w:ascii="Arial" w:hAnsi="Arial" w:cs="Arial"/>
                <w:szCs w:val="20"/>
              </w:rPr>
            </w:pPr>
          </w:p>
          <w:p w14:paraId="549E676A" w14:textId="77777777" w:rsidR="00A63E9A" w:rsidRPr="00821692" w:rsidRDefault="00A63E9A" w:rsidP="006E041F">
            <w:pPr>
              <w:spacing w:line="257" w:lineRule="auto"/>
              <w:rPr>
                <w:rFonts w:ascii="Arial" w:hAnsi="Arial" w:cs="Arial"/>
                <w:szCs w:val="20"/>
              </w:rPr>
            </w:pPr>
            <w:r w:rsidRPr="00821692">
              <w:rPr>
                <w:rFonts w:ascii="Arial" w:eastAsia="Arial" w:hAnsi="Arial" w:cs="Arial"/>
                <w:b/>
                <w:bCs/>
                <w:szCs w:val="20"/>
              </w:rPr>
              <w:t xml:space="preserve">Career Opportunities </w:t>
            </w:r>
          </w:p>
          <w:p w14:paraId="5BF23595" w14:textId="77777777" w:rsidR="00A63E9A" w:rsidRPr="00821692" w:rsidRDefault="00A63E9A" w:rsidP="006E041F">
            <w:pPr>
              <w:rPr>
                <w:rFonts w:ascii="Arial" w:hAnsi="Arial" w:cs="Arial"/>
                <w:szCs w:val="20"/>
              </w:rPr>
            </w:pPr>
            <w:r w:rsidRPr="00821692">
              <w:rPr>
                <w:rFonts w:ascii="Arial" w:eastAsia="Arial" w:hAnsi="Arial" w:cs="Arial"/>
                <w:szCs w:val="20"/>
              </w:rPr>
              <w:t xml:space="preserve">We believe in building a brighter tomorrow for our employees as well as our customers and encourage you to learn about our long history, strong culture, new technologies and future vision. We offer a strong local presence and interesting global opportunities. </w:t>
            </w:r>
            <w:r w:rsidRPr="00821692">
              <w:rPr>
                <w:rFonts w:ascii="Arial" w:hAnsi="Arial" w:cs="Arial"/>
                <w:szCs w:val="20"/>
              </w:rPr>
              <w:t xml:space="preserve"> Join us on this shared journey toward a brighter tomorrow.</w:t>
            </w:r>
          </w:p>
          <w:p w14:paraId="482EEFEB" w14:textId="77777777" w:rsidR="001C47B9" w:rsidRPr="00821692" w:rsidRDefault="001C47B9" w:rsidP="006E041F">
            <w:pPr>
              <w:rPr>
                <w:rFonts w:ascii="Arial" w:hAnsi="Arial" w:cs="Arial"/>
                <w:szCs w:val="20"/>
              </w:rPr>
            </w:pPr>
          </w:p>
          <w:p w14:paraId="3EABBDFB" w14:textId="77777777" w:rsidR="00A63E9A" w:rsidRPr="00821692" w:rsidRDefault="00A63E9A" w:rsidP="006E041F">
            <w:pPr>
              <w:rPr>
                <w:rFonts w:ascii="Arial" w:hAnsi="Arial" w:cs="Arial"/>
                <w:szCs w:val="20"/>
                <w:lang w:eastAsia="zh-CN"/>
              </w:rPr>
            </w:pPr>
          </w:p>
        </w:tc>
      </w:tr>
    </w:tbl>
    <w:tbl>
      <w:tblPr>
        <w:tblStyle w:val="TableGrid3"/>
        <w:tblW w:w="10885" w:type="dxa"/>
        <w:tblInd w:w="-85" w:type="dxa"/>
        <w:tblBorders>
          <w:top w:val="none" w:sz="0" w:space="0" w:color="auto"/>
          <w:left w:val="none" w:sz="0" w:space="0" w:color="auto"/>
          <w:right w:val="none" w:sz="0" w:space="0" w:color="auto"/>
          <w:insideH w:val="single" w:sz="8" w:space="0" w:color="0000FF"/>
          <w:insideV w:val="none" w:sz="0" w:space="0" w:color="auto"/>
        </w:tblBorders>
        <w:tblCellMar>
          <w:top w:w="113" w:type="dxa"/>
          <w:left w:w="85" w:type="dxa"/>
          <w:bottom w:w="113" w:type="dxa"/>
          <w:right w:w="85" w:type="dxa"/>
        </w:tblCellMar>
        <w:tblLook w:val="04A0" w:firstRow="1" w:lastRow="0" w:firstColumn="1" w:lastColumn="0" w:noHBand="0" w:noVBand="1"/>
      </w:tblPr>
      <w:tblGrid>
        <w:gridCol w:w="1789"/>
        <w:gridCol w:w="9096"/>
      </w:tblGrid>
      <w:tr w:rsidR="001C47B9" w:rsidRPr="00821692" w14:paraId="021531EB" w14:textId="77777777" w:rsidTr="001C47B9">
        <w:tc>
          <w:tcPr>
            <w:tcW w:w="1789" w:type="dxa"/>
            <w:tcBorders>
              <w:top w:val="single" w:sz="12" w:space="0" w:color="auto"/>
              <w:bottom w:val="single" w:sz="12" w:space="0" w:color="auto"/>
            </w:tcBorders>
            <w:shd w:val="clear" w:color="auto" w:fill="auto"/>
          </w:tcPr>
          <w:p w14:paraId="758007FC" w14:textId="77777777" w:rsidR="001C47B9" w:rsidRPr="00821692" w:rsidRDefault="001C47B9" w:rsidP="00CB44E7">
            <w:pPr>
              <w:snapToGrid w:val="0"/>
              <w:spacing w:afterLines="40" w:after="96" w:line="240" w:lineRule="exact"/>
              <w:rPr>
                <w:rFonts w:ascii="Arial" w:hAnsi="Arial" w:cs="Arial"/>
                <w:b/>
                <w:bCs/>
                <w:color w:val="0000FF"/>
                <w:szCs w:val="20"/>
                <w:highlight w:val="yellow"/>
              </w:rPr>
            </w:pPr>
            <w:r w:rsidRPr="00821692">
              <w:rPr>
                <w:rFonts w:ascii="Arial" w:hAnsi="Arial" w:cs="Arial"/>
                <w:b/>
                <w:bCs/>
                <w:color w:val="002060"/>
                <w:szCs w:val="20"/>
              </w:rPr>
              <w:t>Position Overview</w:t>
            </w:r>
          </w:p>
        </w:tc>
        <w:tc>
          <w:tcPr>
            <w:tcW w:w="9096" w:type="dxa"/>
            <w:tcBorders>
              <w:top w:val="single" w:sz="12" w:space="0" w:color="auto"/>
              <w:bottom w:val="single" w:sz="12" w:space="0" w:color="auto"/>
            </w:tcBorders>
            <w:shd w:val="clear" w:color="auto" w:fill="auto"/>
          </w:tcPr>
          <w:p w14:paraId="41333347" w14:textId="77777777" w:rsidR="00991C03" w:rsidRPr="00821692" w:rsidRDefault="00991C03" w:rsidP="00991C03">
            <w:pPr>
              <w:widowControl w:val="0"/>
              <w:autoSpaceDE w:val="0"/>
              <w:autoSpaceDN w:val="0"/>
              <w:adjustRightInd w:val="0"/>
              <w:rPr>
                <w:rFonts w:ascii="Arial" w:hAnsi="Arial" w:cs="Arial"/>
                <w:bCs/>
                <w:iCs/>
                <w:szCs w:val="20"/>
              </w:rPr>
            </w:pPr>
            <w:r w:rsidRPr="00821692">
              <w:rPr>
                <w:rFonts w:ascii="Arial" w:hAnsi="Arial" w:cs="Arial"/>
                <w:bCs/>
                <w:iCs/>
                <w:szCs w:val="20"/>
              </w:rPr>
              <w:t>Students will gain excellent experience in the role of a professional buyer and an insight into the role of the Supplier Quality engineer in a large business by working as part of the Purchasing and Supplier Quality group, involved in the purchase of new and existing business needs, the day to day quality analysis, problem identification and resolution, developing tools to help maintain and improve existing performance, analysis of the impact of Supplier Quality in the Plant and potential customer processes.</w:t>
            </w:r>
          </w:p>
          <w:p w14:paraId="4BBF39B2" w14:textId="157DE7C3" w:rsidR="001C47B9" w:rsidRPr="00821692" w:rsidRDefault="001C47B9" w:rsidP="00EA3475">
            <w:pPr>
              <w:widowControl w:val="0"/>
              <w:autoSpaceDE w:val="0"/>
              <w:autoSpaceDN w:val="0"/>
              <w:adjustRightInd w:val="0"/>
              <w:rPr>
                <w:rFonts w:ascii="Arial" w:hAnsi="Arial" w:cs="Arial"/>
                <w:bCs/>
                <w:iCs/>
                <w:szCs w:val="20"/>
              </w:rPr>
            </w:pPr>
          </w:p>
        </w:tc>
      </w:tr>
      <w:tr w:rsidR="001C47B9" w:rsidRPr="00821692" w14:paraId="617941C0" w14:textId="77777777" w:rsidTr="00991C03">
        <w:tc>
          <w:tcPr>
            <w:tcW w:w="1789" w:type="dxa"/>
            <w:tcBorders>
              <w:top w:val="single" w:sz="12" w:space="0" w:color="auto"/>
              <w:bottom w:val="single" w:sz="12" w:space="0" w:color="auto"/>
            </w:tcBorders>
            <w:shd w:val="clear" w:color="auto" w:fill="auto"/>
          </w:tcPr>
          <w:p w14:paraId="0228A618" w14:textId="77777777" w:rsidR="001C47B9" w:rsidRPr="00821692" w:rsidRDefault="001C47B9" w:rsidP="00CB44E7">
            <w:pPr>
              <w:snapToGrid w:val="0"/>
              <w:spacing w:afterLines="40" w:after="96" w:line="240" w:lineRule="exact"/>
              <w:rPr>
                <w:rFonts w:ascii="Arial" w:hAnsi="Arial" w:cs="Arial"/>
                <w:b/>
                <w:bCs/>
                <w:color w:val="002060"/>
                <w:szCs w:val="20"/>
              </w:rPr>
            </w:pPr>
            <w:r w:rsidRPr="00821692">
              <w:rPr>
                <w:rFonts w:ascii="Arial" w:hAnsi="Arial" w:cs="Arial"/>
                <w:b/>
                <w:bCs/>
                <w:color w:val="002060"/>
                <w:szCs w:val="20"/>
              </w:rPr>
              <w:t>Roles &amp; Responsibilities</w:t>
            </w:r>
          </w:p>
        </w:tc>
        <w:tc>
          <w:tcPr>
            <w:tcW w:w="9096" w:type="dxa"/>
            <w:tcBorders>
              <w:top w:val="single" w:sz="12" w:space="0" w:color="auto"/>
              <w:bottom w:val="single" w:sz="12" w:space="0" w:color="auto"/>
            </w:tcBorders>
            <w:shd w:val="clear" w:color="auto" w:fill="auto"/>
          </w:tcPr>
          <w:p w14:paraId="5F328D05" w14:textId="77777777"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To be part of the UK Supplier Quality team ,supporting operational supplier quality issues at Gillingham and potentially Stonehouse (remote).</w:t>
            </w:r>
          </w:p>
          <w:p w14:paraId="3158DC2C" w14:textId="370B80CF"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 xml:space="preserve">Provide process support to Purchasing and Supplier Quality, to achieve Safety, Quality, Volume, Cost metrics </w:t>
            </w:r>
          </w:p>
          <w:p w14:paraId="39035848" w14:textId="3212FAA5"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Work with Purchasing Category Buyers and Supplier Quality Engineers on live components &amp; projects with suppliers using BorgWarner Systems for appropriate approvals [Sourcing approvals for purchasing &amp; PPAP approvals for Quality]</w:t>
            </w:r>
          </w:p>
          <w:p w14:paraId="505E82E5" w14:textId="60CE8CDC"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Liaise with operations to ensure all materials used in manufacturing or assembly processes meet and support Quality and Cost requirements.</w:t>
            </w:r>
          </w:p>
          <w:p w14:paraId="54D062A2" w14:textId="3C1D7AD9"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lastRenderedPageBreak/>
              <w:t>Use data and support Engineers in structured problem solving activities</w:t>
            </w:r>
          </w:p>
          <w:p w14:paraId="5964B9B7" w14:textId="319BD5DE"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Review supplier performance with the correct systems (tools) to support development &amp; continual improvement.</w:t>
            </w:r>
          </w:p>
          <w:p w14:paraId="08358BA8" w14:textId="3A57D978"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Use the BorgWarner Supplier Performance tracking System (SPS) to manage supplied part non-conformance</w:t>
            </w:r>
          </w:p>
          <w:p w14:paraId="093B6E46" w14:textId="16742029"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Work with underperforming suppliers, - introduce Supplier targets, actions, owners and timings.</w:t>
            </w:r>
          </w:p>
          <w:p w14:paraId="4802166C" w14:textId="79DC25AA"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Onsite communication (Teams, E-mail, Phone) review with suppliers key issues  &amp; development.</w:t>
            </w:r>
          </w:p>
          <w:p w14:paraId="13230068" w14:textId="663EE406" w:rsidR="00991C03" w:rsidRPr="00821692" w:rsidRDefault="00821692" w:rsidP="00991C03">
            <w:pPr>
              <w:numPr>
                <w:ilvl w:val="0"/>
                <w:numId w:val="9"/>
              </w:numPr>
              <w:spacing w:line="240" w:lineRule="auto"/>
              <w:rPr>
                <w:rFonts w:ascii="Arial" w:hAnsi="Arial" w:cs="Arial"/>
                <w:bCs/>
                <w:szCs w:val="20"/>
              </w:rPr>
            </w:pPr>
            <w:r w:rsidRPr="00821692">
              <w:rPr>
                <w:rFonts w:ascii="Arial" w:hAnsi="Arial" w:cs="Arial"/>
                <w:bCs/>
                <w:szCs w:val="20"/>
              </w:rPr>
              <w:t>Offsite</w:t>
            </w:r>
            <w:r w:rsidR="00991C03" w:rsidRPr="00821692">
              <w:rPr>
                <w:rFonts w:ascii="Arial" w:hAnsi="Arial" w:cs="Arial"/>
                <w:bCs/>
                <w:szCs w:val="20"/>
              </w:rPr>
              <w:t xml:space="preserve"> meetings at supplier for regular quality review(UK ).</w:t>
            </w:r>
          </w:p>
          <w:p w14:paraId="40D36116" w14:textId="4DFBD610"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Perform  Capacity Studies (Run at Rate) at suppliers (U</w:t>
            </w:r>
            <w:r w:rsidR="00821692">
              <w:rPr>
                <w:rFonts w:ascii="Arial" w:hAnsi="Arial" w:cs="Arial"/>
                <w:bCs/>
                <w:szCs w:val="20"/>
              </w:rPr>
              <w:t>K</w:t>
            </w:r>
            <w:r w:rsidRPr="00821692">
              <w:rPr>
                <w:rFonts w:ascii="Arial" w:hAnsi="Arial" w:cs="Arial"/>
                <w:bCs/>
                <w:szCs w:val="20"/>
              </w:rPr>
              <w:t>)</w:t>
            </w:r>
          </w:p>
          <w:p w14:paraId="08405187" w14:textId="7A43B54D"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Develop quality targets for External sourcing activities.</w:t>
            </w:r>
          </w:p>
          <w:p w14:paraId="268454ED" w14:textId="1F1B6579"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To implement significant savings with Suppliers change or development with the Commodity Buyer.</w:t>
            </w:r>
          </w:p>
          <w:p w14:paraId="3DBADA5F" w14:textId="77777777" w:rsidR="00991C03"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 xml:space="preserve"> With support of the Commodity Buyer compile Business Cases, Negotiations and Contractual agreement with the key suppliers. </w:t>
            </w:r>
          </w:p>
          <w:p w14:paraId="1BDBFCAD" w14:textId="21E97A3D" w:rsidR="001C47B9" w:rsidRPr="00821692" w:rsidRDefault="00991C03" w:rsidP="00991C03">
            <w:pPr>
              <w:numPr>
                <w:ilvl w:val="0"/>
                <w:numId w:val="9"/>
              </w:numPr>
              <w:spacing w:line="240" w:lineRule="auto"/>
              <w:rPr>
                <w:rFonts w:ascii="Arial" w:hAnsi="Arial" w:cs="Arial"/>
                <w:bCs/>
                <w:szCs w:val="20"/>
              </w:rPr>
            </w:pPr>
            <w:r w:rsidRPr="00821692">
              <w:rPr>
                <w:rFonts w:ascii="Arial" w:hAnsi="Arial" w:cs="Arial"/>
                <w:bCs/>
                <w:szCs w:val="20"/>
              </w:rPr>
              <w:t>With the change request system to interface with other functions outside of Purchasing and present change need requirements.</w:t>
            </w:r>
          </w:p>
        </w:tc>
      </w:tr>
      <w:tr w:rsidR="001C47B9" w:rsidRPr="00821692" w14:paraId="60C37173" w14:textId="77777777" w:rsidTr="001C47B9">
        <w:tc>
          <w:tcPr>
            <w:tcW w:w="1789" w:type="dxa"/>
            <w:tcBorders>
              <w:top w:val="single" w:sz="12" w:space="0" w:color="auto"/>
              <w:bottom w:val="single" w:sz="12" w:space="0" w:color="auto"/>
            </w:tcBorders>
            <w:shd w:val="clear" w:color="auto" w:fill="auto"/>
          </w:tcPr>
          <w:p w14:paraId="58A77EFE" w14:textId="77777777" w:rsidR="001C47B9" w:rsidRPr="00821692" w:rsidRDefault="001C47B9" w:rsidP="00CB44E7">
            <w:pPr>
              <w:spacing w:afterLines="40" w:after="96" w:line="240" w:lineRule="exact"/>
              <w:rPr>
                <w:rFonts w:ascii="Arial" w:hAnsi="Arial" w:cs="Arial"/>
                <w:b/>
                <w:bCs/>
                <w:color w:val="002060"/>
                <w:szCs w:val="20"/>
              </w:rPr>
            </w:pPr>
            <w:r w:rsidRPr="00821692">
              <w:rPr>
                <w:rFonts w:ascii="Arial" w:hAnsi="Arial" w:cs="Arial"/>
                <w:b/>
                <w:bCs/>
                <w:color w:val="002060"/>
                <w:szCs w:val="20"/>
              </w:rPr>
              <w:lastRenderedPageBreak/>
              <w:t>Skills</w:t>
            </w:r>
          </w:p>
        </w:tc>
        <w:tc>
          <w:tcPr>
            <w:tcW w:w="9096" w:type="dxa"/>
            <w:tcBorders>
              <w:top w:val="single" w:sz="12" w:space="0" w:color="auto"/>
              <w:bottom w:val="single" w:sz="12" w:space="0" w:color="auto"/>
            </w:tcBorders>
            <w:shd w:val="clear" w:color="auto" w:fill="auto"/>
          </w:tcPr>
          <w:p w14:paraId="4277E2E7" w14:textId="77777777" w:rsidR="00991C03" w:rsidRPr="00821692" w:rsidRDefault="00991C03" w:rsidP="00991C03">
            <w:pPr>
              <w:widowControl w:val="0"/>
              <w:autoSpaceDE w:val="0"/>
              <w:autoSpaceDN w:val="0"/>
              <w:adjustRightInd w:val="0"/>
              <w:spacing w:line="240" w:lineRule="auto"/>
              <w:rPr>
                <w:rFonts w:ascii="Arial" w:hAnsi="Arial" w:cs="Arial"/>
                <w:bCs/>
                <w:szCs w:val="20"/>
              </w:rPr>
            </w:pPr>
            <w:r w:rsidRPr="00821692">
              <w:rPr>
                <w:rFonts w:ascii="Arial" w:hAnsi="Arial" w:cs="Arial"/>
                <w:bCs/>
                <w:szCs w:val="20"/>
              </w:rPr>
              <w:t>Mandatory</w:t>
            </w:r>
          </w:p>
          <w:p w14:paraId="0C487EE1" w14:textId="77777777" w:rsidR="00991C03" w:rsidRPr="00821692" w:rsidRDefault="00991C03" w:rsidP="00991C03">
            <w:pPr>
              <w:pStyle w:val="ListParagraph"/>
              <w:widowControl w:val="0"/>
              <w:autoSpaceDE w:val="0"/>
              <w:autoSpaceDN w:val="0"/>
              <w:adjustRightInd w:val="0"/>
              <w:spacing w:line="240" w:lineRule="auto"/>
              <w:ind w:left="360"/>
              <w:rPr>
                <w:rFonts w:ascii="Arial" w:hAnsi="Arial" w:cs="Arial"/>
                <w:bCs/>
                <w:szCs w:val="20"/>
              </w:rPr>
            </w:pPr>
          </w:p>
          <w:p w14:paraId="543831BD" w14:textId="484D1821"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 xml:space="preserve">Maths, English, Design and Technology, Science, </w:t>
            </w:r>
          </w:p>
          <w:p w14:paraId="0AD8FBC0" w14:textId="29DD4685"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Good level of  IT knowledge of MS word, PowerPoint, project, Access, Excel  (advanced Excel preferred)</w:t>
            </w:r>
          </w:p>
          <w:p w14:paraId="413EB14B" w14:textId="46DC47CF"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Appreciation of manufacturing, Procurement and Quality roles.</w:t>
            </w:r>
          </w:p>
          <w:p w14:paraId="1D245B19" w14:textId="3AF2823C"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Personal strengths should include: Attention to detail, self-confidence, goal orientated, personal initiative, good communication and team working</w:t>
            </w:r>
          </w:p>
          <w:p w14:paraId="16C78130" w14:textId="7F46B88F"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 xml:space="preserve">Analytical and data literate, and be able to present data clearly and concisely. Ability to work in a structured, organised manner </w:t>
            </w:r>
          </w:p>
          <w:p w14:paraId="7EB3BD44" w14:textId="7C7E37FC"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Ability to work under pressure on multiple tasks and support the business where needed</w:t>
            </w:r>
          </w:p>
          <w:p w14:paraId="5070C7B2" w14:textId="7B29CA1D"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Typical undergraduate studies but not limited to Schools of Mechanical Engineering.</w:t>
            </w:r>
          </w:p>
          <w:p w14:paraId="11A9EA62" w14:textId="77777777" w:rsidR="00991C03" w:rsidRPr="00821692" w:rsidRDefault="00991C03" w:rsidP="00821692">
            <w:pPr>
              <w:pStyle w:val="ListParagraph"/>
              <w:widowControl w:val="0"/>
              <w:autoSpaceDE w:val="0"/>
              <w:autoSpaceDN w:val="0"/>
              <w:adjustRightInd w:val="0"/>
              <w:spacing w:line="240" w:lineRule="auto"/>
              <w:ind w:left="360"/>
              <w:rPr>
                <w:rFonts w:ascii="Arial" w:hAnsi="Arial" w:cs="Arial"/>
                <w:bCs/>
                <w:szCs w:val="20"/>
              </w:rPr>
            </w:pPr>
          </w:p>
          <w:p w14:paraId="2D429A6B" w14:textId="77777777" w:rsidR="00991C03" w:rsidRPr="00821692" w:rsidRDefault="00991C03" w:rsidP="00991C03">
            <w:pPr>
              <w:widowControl w:val="0"/>
              <w:autoSpaceDE w:val="0"/>
              <w:autoSpaceDN w:val="0"/>
              <w:adjustRightInd w:val="0"/>
              <w:spacing w:line="240" w:lineRule="auto"/>
              <w:rPr>
                <w:rFonts w:ascii="Arial" w:hAnsi="Arial" w:cs="Arial"/>
                <w:bCs/>
                <w:szCs w:val="20"/>
              </w:rPr>
            </w:pPr>
          </w:p>
          <w:p w14:paraId="3E916899" w14:textId="5D29F255" w:rsidR="00991C03" w:rsidRPr="00821692" w:rsidRDefault="00991C03" w:rsidP="00991C03">
            <w:pPr>
              <w:widowControl w:val="0"/>
              <w:autoSpaceDE w:val="0"/>
              <w:autoSpaceDN w:val="0"/>
              <w:adjustRightInd w:val="0"/>
              <w:spacing w:line="240" w:lineRule="auto"/>
              <w:rPr>
                <w:rFonts w:ascii="Arial" w:hAnsi="Arial" w:cs="Arial"/>
                <w:bCs/>
                <w:szCs w:val="20"/>
              </w:rPr>
            </w:pPr>
            <w:r w:rsidRPr="00821692">
              <w:rPr>
                <w:rFonts w:ascii="Arial" w:hAnsi="Arial" w:cs="Arial"/>
                <w:bCs/>
                <w:szCs w:val="20"/>
              </w:rPr>
              <w:t xml:space="preserve">Desirable </w:t>
            </w:r>
          </w:p>
          <w:p w14:paraId="6B669BDB" w14:textId="77777777"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A flexible and willing attitude is essential because students will regularly find themselves encountering new situations, whilst often needing to undertake routine work.</w:t>
            </w:r>
          </w:p>
          <w:p w14:paraId="5A761E70" w14:textId="77777777" w:rsidR="00991C03" w:rsidRPr="00821692" w:rsidRDefault="00991C03" w:rsidP="00991C03">
            <w:pPr>
              <w:pStyle w:val="ListParagraph"/>
              <w:widowControl w:val="0"/>
              <w:numPr>
                <w:ilvl w:val="0"/>
                <w:numId w:val="6"/>
              </w:numPr>
              <w:autoSpaceDE w:val="0"/>
              <w:autoSpaceDN w:val="0"/>
              <w:adjustRightInd w:val="0"/>
              <w:spacing w:line="240" w:lineRule="auto"/>
              <w:rPr>
                <w:rFonts w:ascii="Arial" w:hAnsi="Arial" w:cs="Arial"/>
                <w:bCs/>
                <w:szCs w:val="20"/>
              </w:rPr>
            </w:pPr>
            <w:r w:rsidRPr="00821692">
              <w:rPr>
                <w:rFonts w:ascii="Arial" w:hAnsi="Arial" w:cs="Arial"/>
                <w:bCs/>
                <w:szCs w:val="20"/>
              </w:rPr>
              <w:t>Willingness to be trained in various activities/ roles within the Commercial/ Supplier Quality roles.</w:t>
            </w:r>
          </w:p>
          <w:p w14:paraId="2C76B326" w14:textId="15033FAB" w:rsidR="001C47B9" w:rsidRPr="00821692" w:rsidRDefault="001C47B9" w:rsidP="00991C03">
            <w:pPr>
              <w:pStyle w:val="ListParagraph"/>
              <w:widowControl w:val="0"/>
              <w:autoSpaceDE w:val="0"/>
              <w:autoSpaceDN w:val="0"/>
              <w:adjustRightInd w:val="0"/>
              <w:spacing w:line="240" w:lineRule="auto"/>
              <w:ind w:left="360"/>
              <w:rPr>
                <w:rFonts w:ascii="Arial" w:hAnsi="Arial" w:cs="Arial"/>
                <w:bCs/>
                <w:szCs w:val="20"/>
              </w:rPr>
            </w:pPr>
          </w:p>
        </w:tc>
      </w:tr>
      <w:tr w:rsidR="001C47B9" w:rsidRPr="00821692" w14:paraId="7B4BC817" w14:textId="77777777" w:rsidTr="001C47B9">
        <w:tc>
          <w:tcPr>
            <w:tcW w:w="1789" w:type="dxa"/>
            <w:tcBorders>
              <w:top w:val="single" w:sz="12" w:space="0" w:color="auto"/>
              <w:bottom w:val="single" w:sz="12" w:space="0" w:color="auto"/>
            </w:tcBorders>
            <w:shd w:val="clear" w:color="auto" w:fill="auto"/>
          </w:tcPr>
          <w:p w14:paraId="44E42EE8" w14:textId="77777777" w:rsidR="001C47B9" w:rsidRPr="00821692" w:rsidRDefault="001C47B9" w:rsidP="00CB44E7">
            <w:pPr>
              <w:snapToGrid w:val="0"/>
              <w:spacing w:afterLines="40" w:after="96" w:line="240" w:lineRule="exact"/>
              <w:rPr>
                <w:rFonts w:ascii="Arial" w:hAnsi="Arial" w:cs="Arial"/>
                <w:b/>
                <w:bCs/>
                <w:color w:val="002060"/>
                <w:szCs w:val="20"/>
              </w:rPr>
            </w:pPr>
            <w:r w:rsidRPr="00821692">
              <w:rPr>
                <w:rFonts w:ascii="Arial" w:hAnsi="Arial" w:cs="Arial"/>
                <w:b/>
                <w:bCs/>
                <w:color w:val="002060"/>
                <w:szCs w:val="20"/>
              </w:rPr>
              <w:t>Attributes</w:t>
            </w:r>
          </w:p>
        </w:tc>
        <w:tc>
          <w:tcPr>
            <w:tcW w:w="9096" w:type="dxa"/>
            <w:tcBorders>
              <w:top w:val="single" w:sz="12" w:space="0" w:color="auto"/>
              <w:bottom w:val="single" w:sz="12" w:space="0" w:color="auto"/>
            </w:tcBorders>
            <w:shd w:val="clear" w:color="auto" w:fill="auto"/>
          </w:tcPr>
          <w:p w14:paraId="3A803F6E"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Self-motivated and have a strong and flexible attitude towards work environment.</w:t>
            </w:r>
          </w:p>
          <w:p w14:paraId="650E235E"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Ability to communicate at all levels.</w:t>
            </w:r>
          </w:p>
          <w:p w14:paraId="6A6FC721"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Team Orientated.</w:t>
            </w:r>
          </w:p>
          <w:p w14:paraId="5D37321A"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Excellent attention to detail</w:t>
            </w:r>
          </w:p>
          <w:p w14:paraId="2989E59D"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Ability to work under pressure and to deadline when required</w:t>
            </w:r>
          </w:p>
          <w:p w14:paraId="2A3A8D88"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The ability to prioritise and organise own workload</w:t>
            </w:r>
          </w:p>
          <w:p w14:paraId="2354578D" w14:textId="77777777" w:rsidR="00991C03"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To comply to BorgWarner, Safety and Environmental regulations such as PPE showing responsibility of personal safety and that of others.</w:t>
            </w:r>
          </w:p>
          <w:p w14:paraId="12FC7CC8" w14:textId="61883C1E" w:rsidR="001C47B9" w:rsidRPr="00821692" w:rsidRDefault="00991C03" w:rsidP="00991C03">
            <w:pPr>
              <w:pStyle w:val="ListParagraph"/>
              <w:numPr>
                <w:ilvl w:val="0"/>
                <w:numId w:val="8"/>
              </w:numPr>
              <w:spacing w:line="240" w:lineRule="auto"/>
              <w:rPr>
                <w:rFonts w:ascii="Arial" w:hAnsi="Arial" w:cs="Arial"/>
                <w:iCs/>
                <w:szCs w:val="20"/>
              </w:rPr>
            </w:pPr>
            <w:r w:rsidRPr="00821692">
              <w:rPr>
                <w:rFonts w:ascii="Arial" w:hAnsi="Arial" w:cs="Arial"/>
                <w:iCs/>
                <w:szCs w:val="20"/>
              </w:rPr>
              <w:t xml:space="preserve">Treat work colleagues with respect. (Equality and Diversity) </w:t>
            </w:r>
          </w:p>
        </w:tc>
      </w:tr>
      <w:tr w:rsidR="001C47B9" w:rsidRPr="00821692" w14:paraId="3DF2CAE9" w14:textId="77777777" w:rsidTr="00EA3475">
        <w:trPr>
          <w:trHeight w:val="686"/>
        </w:trPr>
        <w:tc>
          <w:tcPr>
            <w:tcW w:w="1789" w:type="dxa"/>
            <w:tcBorders>
              <w:top w:val="single" w:sz="12" w:space="0" w:color="auto"/>
              <w:bottom w:val="single" w:sz="12" w:space="0" w:color="auto"/>
            </w:tcBorders>
            <w:shd w:val="clear" w:color="auto" w:fill="auto"/>
          </w:tcPr>
          <w:p w14:paraId="478C0055" w14:textId="77777777" w:rsidR="001C47B9" w:rsidRPr="00821692" w:rsidRDefault="001C47B9" w:rsidP="00CB44E7">
            <w:pPr>
              <w:snapToGrid w:val="0"/>
              <w:spacing w:afterLines="40" w:after="96" w:line="240" w:lineRule="exact"/>
              <w:rPr>
                <w:rFonts w:ascii="Arial" w:hAnsi="Arial" w:cs="Arial"/>
                <w:b/>
                <w:bCs/>
                <w:color w:val="002060"/>
                <w:szCs w:val="20"/>
              </w:rPr>
            </w:pPr>
            <w:r w:rsidRPr="00821692">
              <w:rPr>
                <w:rFonts w:ascii="Arial" w:hAnsi="Arial" w:cs="Arial"/>
                <w:b/>
                <w:bCs/>
                <w:color w:val="002060"/>
                <w:szCs w:val="20"/>
              </w:rPr>
              <w:t>Experience &amp; Qualifications</w:t>
            </w:r>
          </w:p>
          <w:p w14:paraId="2548067B" w14:textId="77777777" w:rsidR="00EA3475" w:rsidRPr="00821692" w:rsidRDefault="00EA3475" w:rsidP="00EA3475">
            <w:pPr>
              <w:rPr>
                <w:rFonts w:ascii="Arial" w:hAnsi="Arial" w:cs="Arial"/>
                <w:szCs w:val="20"/>
              </w:rPr>
            </w:pPr>
          </w:p>
        </w:tc>
        <w:tc>
          <w:tcPr>
            <w:tcW w:w="9096" w:type="dxa"/>
            <w:tcBorders>
              <w:top w:val="single" w:sz="12" w:space="0" w:color="auto"/>
              <w:bottom w:val="single" w:sz="12" w:space="0" w:color="auto"/>
            </w:tcBorders>
            <w:shd w:val="clear" w:color="auto" w:fill="auto"/>
          </w:tcPr>
          <w:p w14:paraId="572D545B" w14:textId="77777777" w:rsidR="001C47B9" w:rsidRPr="00821692" w:rsidRDefault="001C47B9" w:rsidP="00CB44E7">
            <w:pPr>
              <w:rPr>
                <w:rFonts w:ascii="Arial" w:hAnsi="Arial" w:cs="Arial"/>
                <w:b/>
                <w:bCs/>
                <w:iCs/>
                <w:szCs w:val="20"/>
              </w:rPr>
            </w:pPr>
            <w:r w:rsidRPr="00821692">
              <w:rPr>
                <w:rFonts w:ascii="Arial" w:hAnsi="Arial" w:cs="Arial"/>
                <w:b/>
                <w:bCs/>
                <w:iCs/>
                <w:szCs w:val="20"/>
              </w:rPr>
              <w:t>Mandatory</w:t>
            </w:r>
          </w:p>
          <w:p w14:paraId="238199B7" w14:textId="7B5AB286" w:rsidR="001C47B9" w:rsidRPr="00821692" w:rsidRDefault="00EA3475" w:rsidP="00EA3475">
            <w:pPr>
              <w:pStyle w:val="ListParagraph"/>
              <w:numPr>
                <w:ilvl w:val="0"/>
                <w:numId w:val="15"/>
              </w:numPr>
              <w:spacing w:line="240" w:lineRule="auto"/>
              <w:contextualSpacing w:val="0"/>
              <w:rPr>
                <w:rFonts w:ascii="Arial" w:hAnsi="Arial" w:cs="Arial"/>
                <w:iCs/>
                <w:szCs w:val="20"/>
              </w:rPr>
            </w:pPr>
            <w:r w:rsidRPr="00821692">
              <w:rPr>
                <w:rFonts w:ascii="Arial" w:hAnsi="Arial" w:cs="Arial"/>
                <w:iCs/>
                <w:szCs w:val="20"/>
              </w:rPr>
              <w:t>Working towards Degree (or equivalent) in mechanical engineering or related subject</w:t>
            </w:r>
          </w:p>
        </w:tc>
      </w:tr>
    </w:tbl>
    <w:tbl>
      <w:tblPr>
        <w:tblStyle w:val="TableGrid1"/>
        <w:tblW w:w="1059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85" w:type="dxa"/>
          <w:bottom w:w="113" w:type="dxa"/>
          <w:right w:w="85" w:type="dxa"/>
        </w:tblCellMar>
        <w:tblLook w:val="04A0" w:firstRow="1" w:lastRow="0" w:firstColumn="1" w:lastColumn="0" w:noHBand="0" w:noVBand="1"/>
      </w:tblPr>
      <w:tblGrid>
        <w:gridCol w:w="1835"/>
        <w:gridCol w:w="8759"/>
      </w:tblGrid>
      <w:tr w:rsidR="0090032B" w:rsidRPr="00821692" w14:paraId="70109AF0" w14:textId="77777777" w:rsidTr="00FD01EE">
        <w:trPr>
          <w:trHeight w:val="732"/>
        </w:trPr>
        <w:tc>
          <w:tcPr>
            <w:tcW w:w="1835" w:type="dxa"/>
            <w:shd w:val="clear" w:color="auto" w:fill="auto"/>
          </w:tcPr>
          <w:p w14:paraId="43C11EC0" w14:textId="4B3ABDC3" w:rsidR="0090032B" w:rsidRPr="00821692" w:rsidRDefault="00EA3475" w:rsidP="0075217F">
            <w:pPr>
              <w:spacing w:afterLines="40" w:after="96" w:line="240" w:lineRule="exact"/>
              <w:rPr>
                <w:rFonts w:ascii="Arial" w:hAnsi="Arial" w:cs="Arial"/>
                <w:b/>
                <w:bCs/>
                <w:color w:val="002060"/>
                <w:szCs w:val="20"/>
              </w:rPr>
            </w:pPr>
            <w:r w:rsidRPr="00821692">
              <w:rPr>
                <w:rFonts w:ascii="Arial" w:hAnsi="Arial" w:cs="Arial"/>
                <w:b/>
                <w:bCs/>
                <w:color w:val="002060"/>
                <w:szCs w:val="20"/>
              </w:rPr>
              <w:t>Additional Information</w:t>
            </w:r>
            <w:r w:rsidR="001C47B9" w:rsidRPr="00821692">
              <w:rPr>
                <w:rFonts w:ascii="Arial" w:hAnsi="Arial" w:cs="Arial"/>
                <w:b/>
                <w:bCs/>
                <w:color w:val="002060"/>
                <w:szCs w:val="20"/>
              </w:rPr>
              <w:t xml:space="preserve">             </w:t>
            </w:r>
          </w:p>
        </w:tc>
        <w:tc>
          <w:tcPr>
            <w:tcW w:w="8759" w:type="dxa"/>
            <w:shd w:val="clear" w:color="auto" w:fill="auto"/>
          </w:tcPr>
          <w:p w14:paraId="2F386EE7" w14:textId="77777777" w:rsidR="001C47B9" w:rsidRPr="00821692" w:rsidRDefault="00EA3475" w:rsidP="00FD01EE">
            <w:pPr>
              <w:snapToGrid w:val="0"/>
              <w:spacing w:afterLines="100" w:after="240" w:line="240" w:lineRule="exact"/>
              <w:jc w:val="both"/>
              <w:rPr>
                <w:rFonts w:ascii="Arial" w:hAnsi="Arial" w:cs="Arial"/>
                <w:szCs w:val="20"/>
              </w:rPr>
            </w:pPr>
            <w:r w:rsidRPr="00821692">
              <w:rPr>
                <w:rFonts w:ascii="Arial" w:hAnsi="Arial" w:cs="Arial"/>
                <w:szCs w:val="20"/>
              </w:rPr>
              <w:t>This Job description outlines the duties required, it is not a comprehensive or</w:t>
            </w:r>
            <w:r w:rsidR="00FD01EE" w:rsidRPr="00821692">
              <w:rPr>
                <w:rFonts w:ascii="Arial" w:hAnsi="Arial" w:cs="Arial"/>
                <w:szCs w:val="20"/>
              </w:rPr>
              <w:t xml:space="preserve"> </w:t>
            </w:r>
            <w:r w:rsidRPr="00821692">
              <w:rPr>
                <w:rFonts w:ascii="Arial" w:hAnsi="Arial" w:cs="Arial"/>
                <w:szCs w:val="20"/>
              </w:rPr>
              <w:t>exhaustive list, and the Line Manager may vary duties from time to time which do not change the general character of the job, or the level of responsibility entailed.  Flexibility is required from all job holders.</w:t>
            </w:r>
          </w:p>
          <w:p w14:paraId="2B443F07" w14:textId="01480FA5" w:rsidR="00A422F0" w:rsidRPr="00821692" w:rsidRDefault="00A422F0" w:rsidP="00FD01EE">
            <w:pPr>
              <w:snapToGrid w:val="0"/>
              <w:spacing w:afterLines="100" w:after="240" w:line="240" w:lineRule="exact"/>
              <w:jc w:val="both"/>
              <w:rPr>
                <w:rFonts w:ascii="Arial" w:hAnsi="Arial" w:cs="Arial"/>
                <w:szCs w:val="20"/>
              </w:rPr>
            </w:pPr>
            <w:r w:rsidRPr="00821692">
              <w:rPr>
                <w:rFonts w:ascii="Arial" w:hAnsi="Arial" w:cs="Arial"/>
                <w:b/>
                <w:bCs/>
                <w:szCs w:val="20"/>
              </w:rPr>
              <w:lastRenderedPageBreak/>
              <w:t>Hours of work, 37 hours per week:</w:t>
            </w:r>
            <w:r w:rsidRPr="00821692">
              <w:rPr>
                <w:rFonts w:ascii="Arial" w:hAnsi="Arial" w:cs="Arial"/>
                <w:szCs w:val="20"/>
              </w:rPr>
              <w:t xml:space="preserve"> 7.30am - 4.00pm Monday, 7.30am to 3.30pm Tuesday to Thursday, 7.30am -2.30pm Friday, 1/2 hour unpaid lunch break.</w:t>
            </w:r>
          </w:p>
          <w:p w14:paraId="679AB96F" w14:textId="5419A11F" w:rsidR="00FD01EE" w:rsidRPr="00821692" w:rsidRDefault="00FD01EE" w:rsidP="00FD01EE">
            <w:pPr>
              <w:snapToGrid w:val="0"/>
              <w:spacing w:afterLines="100" w:after="240" w:line="240" w:lineRule="exact"/>
              <w:jc w:val="both"/>
              <w:rPr>
                <w:rFonts w:ascii="Arial" w:hAnsi="Arial" w:cs="Arial"/>
                <w:szCs w:val="20"/>
              </w:rPr>
            </w:pPr>
            <w:r w:rsidRPr="00821692">
              <w:rPr>
                <w:rFonts w:ascii="Arial" w:hAnsi="Arial" w:cs="Arial"/>
                <w:b/>
                <w:bCs/>
                <w:szCs w:val="20"/>
              </w:rPr>
              <w:t>Holiday</w:t>
            </w:r>
            <w:r w:rsidR="00CA26D6" w:rsidRPr="00821692">
              <w:rPr>
                <w:rFonts w:ascii="Arial" w:hAnsi="Arial" w:cs="Arial"/>
                <w:b/>
                <w:bCs/>
                <w:szCs w:val="20"/>
              </w:rPr>
              <w:t>:</w:t>
            </w:r>
            <w:r w:rsidRPr="00821692">
              <w:rPr>
                <w:rFonts w:ascii="Arial" w:hAnsi="Arial" w:cs="Arial"/>
                <w:b/>
                <w:bCs/>
                <w:szCs w:val="20"/>
              </w:rPr>
              <w:t xml:space="preserve"> </w:t>
            </w:r>
            <w:r w:rsidRPr="00821692">
              <w:rPr>
                <w:rFonts w:ascii="Arial" w:hAnsi="Arial" w:cs="Arial"/>
                <w:szCs w:val="20"/>
              </w:rPr>
              <w:t xml:space="preserve">In addition to statutory holiday students receive 25 days paid holiday in a full 12-month </w:t>
            </w:r>
            <w:proofErr w:type="spellStart"/>
            <w:r w:rsidRPr="00821692">
              <w:rPr>
                <w:rFonts w:ascii="Arial" w:hAnsi="Arial" w:cs="Arial"/>
                <w:szCs w:val="20"/>
              </w:rPr>
              <w:t>calender</w:t>
            </w:r>
            <w:proofErr w:type="spellEnd"/>
            <w:r w:rsidRPr="00821692">
              <w:rPr>
                <w:rFonts w:ascii="Arial" w:hAnsi="Arial" w:cs="Arial"/>
                <w:szCs w:val="20"/>
              </w:rPr>
              <w:t xml:space="preserve"> period, pro-rata for shorter periods. </w:t>
            </w:r>
          </w:p>
          <w:p w14:paraId="2573250E" w14:textId="4F07988D" w:rsidR="00FD01EE" w:rsidRPr="00821692" w:rsidRDefault="00FD01EE" w:rsidP="00FD01EE">
            <w:pPr>
              <w:snapToGrid w:val="0"/>
              <w:spacing w:afterLines="100" w:after="240" w:line="240" w:lineRule="exact"/>
              <w:jc w:val="both"/>
              <w:rPr>
                <w:rFonts w:ascii="Arial" w:hAnsi="Arial" w:cs="Arial"/>
                <w:szCs w:val="20"/>
              </w:rPr>
            </w:pPr>
            <w:r w:rsidRPr="00821692">
              <w:rPr>
                <w:rFonts w:ascii="Arial" w:hAnsi="Arial" w:cs="Arial"/>
                <w:b/>
                <w:bCs/>
                <w:szCs w:val="20"/>
              </w:rPr>
              <w:t>Annual Salary</w:t>
            </w:r>
            <w:r w:rsidR="00CA26D6" w:rsidRPr="00821692">
              <w:rPr>
                <w:rFonts w:ascii="Arial" w:hAnsi="Arial" w:cs="Arial"/>
                <w:b/>
                <w:bCs/>
                <w:szCs w:val="20"/>
              </w:rPr>
              <w:t>:</w:t>
            </w:r>
            <w:r w:rsidRPr="00821692">
              <w:rPr>
                <w:rFonts w:ascii="Arial" w:hAnsi="Arial" w:cs="Arial"/>
                <w:szCs w:val="20"/>
              </w:rPr>
              <w:t xml:space="preserve"> £</w:t>
            </w:r>
            <w:r w:rsidR="00991C03" w:rsidRPr="00821692">
              <w:rPr>
                <w:rFonts w:ascii="Arial" w:hAnsi="Arial" w:cs="Arial"/>
                <w:szCs w:val="20"/>
              </w:rPr>
              <w:t>19</w:t>
            </w:r>
            <w:r w:rsidR="00F41748" w:rsidRPr="00821692">
              <w:rPr>
                <w:rFonts w:ascii="Arial" w:hAnsi="Arial" w:cs="Arial"/>
                <w:szCs w:val="20"/>
              </w:rPr>
              <w:t>,</w:t>
            </w:r>
            <w:r w:rsidR="00991C03" w:rsidRPr="00821692">
              <w:rPr>
                <w:rFonts w:ascii="Arial" w:hAnsi="Arial" w:cs="Arial"/>
                <w:szCs w:val="20"/>
              </w:rPr>
              <w:t>500</w:t>
            </w:r>
          </w:p>
          <w:p w14:paraId="14D9514C" w14:textId="1BC0E8F0" w:rsidR="00FD01EE" w:rsidRPr="00821692" w:rsidRDefault="00FD01EE" w:rsidP="00FD01EE">
            <w:pPr>
              <w:snapToGrid w:val="0"/>
              <w:spacing w:afterLines="100" w:after="240" w:line="240" w:lineRule="exact"/>
              <w:jc w:val="both"/>
              <w:rPr>
                <w:rFonts w:ascii="Arial" w:hAnsi="Arial" w:cs="Arial"/>
                <w:szCs w:val="20"/>
              </w:rPr>
            </w:pPr>
            <w:r w:rsidRPr="00821692">
              <w:rPr>
                <w:rFonts w:ascii="Arial" w:hAnsi="Arial" w:cs="Arial"/>
                <w:b/>
                <w:bCs/>
                <w:szCs w:val="20"/>
              </w:rPr>
              <w:t>Duration</w:t>
            </w:r>
            <w:r w:rsidR="00CA26D6" w:rsidRPr="00821692">
              <w:rPr>
                <w:rFonts w:ascii="Arial" w:hAnsi="Arial" w:cs="Arial"/>
                <w:b/>
                <w:bCs/>
                <w:szCs w:val="20"/>
              </w:rPr>
              <w:t>:</w:t>
            </w:r>
            <w:r w:rsidRPr="00821692">
              <w:rPr>
                <w:rFonts w:ascii="Arial" w:hAnsi="Arial" w:cs="Arial"/>
                <w:b/>
                <w:bCs/>
                <w:szCs w:val="20"/>
              </w:rPr>
              <w:t xml:space="preserve"> </w:t>
            </w:r>
            <w:r w:rsidRPr="00821692">
              <w:rPr>
                <w:rFonts w:ascii="Arial" w:hAnsi="Arial" w:cs="Arial"/>
                <w:szCs w:val="20"/>
              </w:rPr>
              <w:t>12 months</w:t>
            </w:r>
          </w:p>
        </w:tc>
      </w:tr>
    </w:tbl>
    <w:tbl>
      <w:tblPr>
        <w:tblW w:w="864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969"/>
      </w:tblGrid>
      <w:tr w:rsidR="00FD01EE" w:rsidRPr="00821692" w14:paraId="7BA2919A" w14:textId="77777777" w:rsidTr="00CA26D6">
        <w:trPr>
          <w:cantSplit/>
          <w:trHeight w:val="2149"/>
        </w:trPr>
        <w:tc>
          <w:tcPr>
            <w:tcW w:w="4678" w:type="dxa"/>
          </w:tcPr>
          <w:p w14:paraId="71DE6258" w14:textId="77777777" w:rsidR="00FD01EE" w:rsidRPr="00821692" w:rsidRDefault="00FD01EE" w:rsidP="000475D2">
            <w:pPr>
              <w:rPr>
                <w:rFonts w:ascii="Arial" w:hAnsi="Arial" w:cs="Arial"/>
                <w:b/>
                <w:szCs w:val="20"/>
              </w:rPr>
            </w:pPr>
            <w:r w:rsidRPr="00821692">
              <w:rPr>
                <w:rFonts w:ascii="Arial" w:hAnsi="Arial" w:cs="Arial"/>
                <w:b/>
                <w:szCs w:val="20"/>
              </w:rPr>
              <w:lastRenderedPageBreak/>
              <w:t>Submitting Applications</w:t>
            </w:r>
          </w:p>
          <w:p w14:paraId="7B6FB38A" w14:textId="77777777" w:rsidR="00FD01EE" w:rsidRPr="00821692" w:rsidRDefault="00FD01EE" w:rsidP="000475D2">
            <w:pPr>
              <w:rPr>
                <w:rFonts w:ascii="Arial" w:hAnsi="Arial" w:cs="Arial"/>
                <w:szCs w:val="20"/>
              </w:rPr>
            </w:pPr>
          </w:p>
          <w:p w14:paraId="0747B2CB" w14:textId="4990DE90" w:rsidR="00FD01EE" w:rsidRPr="00821692" w:rsidRDefault="00FD01EE" w:rsidP="000475D2">
            <w:pPr>
              <w:rPr>
                <w:rFonts w:ascii="Arial" w:hAnsi="Arial" w:cs="Arial"/>
                <w:szCs w:val="20"/>
              </w:rPr>
            </w:pPr>
            <w:r w:rsidRPr="00821692">
              <w:rPr>
                <w:rFonts w:ascii="Arial" w:hAnsi="Arial" w:cs="Arial"/>
                <w:szCs w:val="20"/>
              </w:rPr>
              <w:t>To apply, please send a copy of your covering letter and your cv as one document to</w:t>
            </w:r>
            <w:r w:rsidR="00CA26D6" w:rsidRPr="00821692">
              <w:rPr>
                <w:rFonts w:ascii="Arial" w:hAnsi="Arial" w:cs="Arial"/>
                <w:szCs w:val="20"/>
              </w:rPr>
              <w:t xml:space="preserve"> </w:t>
            </w:r>
            <w:r w:rsidR="00CE4F7F" w:rsidRPr="00821692">
              <w:rPr>
                <w:rFonts w:ascii="Arial" w:hAnsi="Arial" w:cs="Arial"/>
                <w:szCs w:val="20"/>
              </w:rPr>
              <w:t>Gillingham.hr</w:t>
            </w:r>
            <w:r w:rsidR="00CA26D6" w:rsidRPr="00821692">
              <w:rPr>
                <w:rFonts w:ascii="Arial" w:hAnsi="Arial" w:cs="Arial"/>
                <w:szCs w:val="20"/>
              </w:rPr>
              <w:t>@phinia</w:t>
            </w:r>
            <w:hyperlink r:id="rId11" w:history="1">
              <w:r w:rsidRPr="00821692">
                <w:rPr>
                  <w:rStyle w:val="Hyperlink"/>
                  <w:rFonts w:ascii="Arial" w:hAnsi="Arial" w:cs="Arial"/>
                  <w:szCs w:val="20"/>
                </w:rPr>
                <w:t>.com</w:t>
              </w:r>
            </w:hyperlink>
          </w:p>
          <w:p w14:paraId="64A2BA62" w14:textId="77777777" w:rsidR="00FD01EE" w:rsidRPr="00821692" w:rsidRDefault="00FD01EE" w:rsidP="000475D2">
            <w:pPr>
              <w:rPr>
                <w:rFonts w:ascii="Arial" w:hAnsi="Arial" w:cs="Arial"/>
                <w:szCs w:val="20"/>
              </w:rPr>
            </w:pPr>
          </w:p>
          <w:p w14:paraId="51D53AFC" w14:textId="52B51248" w:rsidR="00FD01EE" w:rsidRPr="00821692" w:rsidRDefault="00FD01EE" w:rsidP="000475D2">
            <w:pPr>
              <w:rPr>
                <w:rFonts w:ascii="Arial" w:hAnsi="Arial" w:cs="Arial"/>
                <w:b/>
                <w:szCs w:val="20"/>
              </w:rPr>
            </w:pPr>
            <w:r w:rsidRPr="00821692">
              <w:rPr>
                <w:rFonts w:ascii="Arial" w:hAnsi="Arial" w:cs="Arial"/>
                <w:b/>
                <w:szCs w:val="20"/>
              </w:rPr>
              <w:t>Start Date</w:t>
            </w:r>
            <w:r w:rsidR="00CA26D6" w:rsidRPr="00821692">
              <w:rPr>
                <w:rFonts w:ascii="Arial" w:hAnsi="Arial" w:cs="Arial"/>
                <w:b/>
                <w:szCs w:val="20"/>
              </w:rPr>
              <w:t>:</w:t>
            </w:r>
            <w:r w:rsidRPr="00821692">
              <w:rPr>
                <w:rFonts w:ascii="Arial" w:hAnsi="Arial" w:cs="Arial"/>
                <w:szCs w:val="20"/>
              </w:rPr>
              <w:t xml:space="preserve"> June/July 202</w:t>
            </w:r>
            <w:r w:rsidR="00CA26D6" w:rsidRPr="00821692">
              <w:rPr>
                <w:rFonts w:ascii="Arial" w:hAnsi="Arial" w:cs="Arial"/>
                <w:szCs w:val="20"/>
              </w:rPr>
              <w:t>4</w:t>
            </w:r>
            <w:r w:rsidRPr="00821692">
              <w:rPr>
                <w:rFonts w:ascii="Arial" w:hAnsi="Arial" w:cs="Arial"/>
                <w:szCs w:val="20"/>
              </w:rPr>
              <w:t xml:space="preserve"> onwards</w:t>
            </w:r>
            <w:r w:rsidRPr="00821692">
              <w:rPr>
                <w:rFonts w:ascii="Arial" w:hAnsi="Arial" w:cs="Arial"/>
                <w:b/>
                <w:szCs w:val="20"/>
              </w:rPr>
              <w:t xml:space="preserve">.           </w:t>
            </w:r>
          </w:p>
        </w:tc>
        <w:tc>
          <w:tcPr>
            <w:tcW w:w="3969" w:type="dxa"/>
          </w:tcPr>
          <w:p w14:paraId="7C44B946" w14:textId="7C0396D7" w:rsidR="00FD01EE" w:rsidRPr="00821692" w:rsidRDefault="00FD01EE" w:rsidP="000475D2">
            <w:pPr>
              <w:rPr>
                <w:rFonts w:ascii="Arial" w:hAnsi="Arial" w:cs="Arial"/>
                <w:b/>
                <w:szCs w:val="20"/>
              </w:rPr>
            </w:pPr>
            <w:r w:rsidRPr="00821692">
              <w:rPr>
                <w:rFonts w:ascii="Arial" w:hAnsi="Arial" w:cs="Arial"/>
                <w:b/>
                <w:szCs w:val="20"/>
              </w:rPr>
              <w:t xml:space="preserve">Closing Date for Applications </w:t>
            </w:r>
            <w:r w:rsidR="00CE4F7F" w:rsidRPr="00821692">
              <w:rPr>
                <w:rFonts w:ascii="Arial" w:hAnsi="Arial" w:cs="Arial"/>
                <w:b/>
                <w:szCs w:val="20"/>
                <w:highlight w:val="yellow"/>
              </w:rPr>
              <w:t>26</w:t>
            </w:r>
            <w:r w:rsidR="00CA26D6" w:rsidRPr="00821692">
              <w:rPr>
                <w:rFonts w:ascii="Arial" w:hAnsi="Arial" w:cs="Arial"/>
                <w:szCs w:val="20"/>
                <w:highlight w:val="yellow"/>
              </w:rPr>
              <w:t xml:space="preserve"> April 2024</w:t>
            </w:r>
          </w:p>
          <w:p w14:paraId="7384A990" w14:textId="77777777" w:rsidR="00FD01EE" w:rsidRPr="00821692" w:rsidRDefault="00FD01EE" w:rsidP="000475D2">
            <w:pPr>
              <w:rPr>
                <w:rFonts w:ascii="Arial" w:hAnsi="Arial" w:cs="Arial"/>
                <w:b/>
                <w:szCs w:val="20"/>
              </w:rPr>
            </w:pPr>
          </w:p>
          <w:p w14:paraId="4369F252" w14:textId="3B34FE7D" w:rsidR="00FD01EE" w:rsidRPr="00821692" w:rsidRDefault="00FD01EE" w:rsidP="000475D2">
            <w:pPr>
              <w:rPr>
                <w:rFonts w:ascii="Arial" w:hAnsi="Arial" w:cs="Arial"/>
                <w:szCs w:val="20"/>
              </w:rPr>
            </w:pPr>
            <w:r w:rsidRPr="00821692">
              <w:rPr>
                <w:rFonts w:ascii="Arial" w:hAnsi="Arial" w:cs="Arial"/>
                <w:szCs w:val="20"/>
              </w:rPr>
              <w:t xml:space="preserve">Candidates will only be contacted if they are selected for </w:t>
            </w:r>
            <w:r w:rsidR="00CA26D6" w:rsidRPr="00821692">
              <w:rPr>
                <w:rFonts w:ascii="Arial" w:hAnsi="Arial" w:cs="Arial"/>
                <w:szCs w:val="20"/>
              </w:rPr>
              <w:t>an interview</w:t>
            </w:r>
            <w:r w:rsidRPr="00821692">
              <w:rPr>
                <w:rFonts w:ascii="Arial" w:hAnsi="Arial" w:cs="Arial"/>
                <w:szCs w:val="20"/>
              </w:rPr>
              <w:t>.</w:t>
            </w:r>
          </w:p>
          <w:p w14:paraId="52821B1D" w14:textId="77777777" w:rsidR="00FD01EE" w:rsidRPr="00821692" w:rsidRDefault="00FD01EE" w:rsidP="000475D2">
            <w:pPr>
              <w:rPr>
                <w:rFonts w:ascii="Arial" w:hAnsi="Arial" w:cs="Arial"/>
                <w:szCs w:val="20"/>
              </w:rPr>
            </w:pPr>
          </w:p>
          <w:p w14:paraId="645713E1" w14:textId="77777777" w:rsidR="00FD01EE" w:rsidRPr="00821692" w:rsidRDefault="00FD01EE" w:rsidP="000475D2">
            <w:pPr>
              <w:rPr>
                <w:rFonts w:ascii="Arial" w:hAnsi="Arial" w:cs="Arial"/>
                <w:b/>
                <w:szCs w:val="20"/>
              </w:rPr>
            </w:pPr>
            <w:r w:rsidRPr="00821692">
              <w:rPr>
                <w:rFonts w:ascii="Arial" w:hAnsi="Arial" w:cs="Arial"/>
                <w:szCs w:val="20"/>
              </w:rPr>
              <w:t>If suitable candidates are found, they may be offered a placement before the stated closing date.</w:t>
            </w:r>
            <w:r w:rsidRPr="00821692">
              <w:rPr>
                <w:rFonts w:ascii="Arial" w:hAnsi="Arial" w:cs="Arial"/>
                <w:b/>
                <w:szCs w:val="20"/>
              </w:rPr>
              <w:t xml:space="preserve">                </w:t>
            </w:r>
          </w:p>
        </w:tc>
      </w:tr>
    </w:tbl>
    <w:tbl>
      <w:tblPr>
        <w:tblStyle w:val="TableGrid1"/>
        <w:tblW w:w="1059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85" w:type="dxa"/>
          <w:bottom w:w="113" w:type="dxa"/>
          <w:right w:w="85" w:type="dxa"/>
        </w:tblCellMar>
        <w:tblLook w:val="04A0" w:firstRow="1" w:lastRow="0" w:firstColumn="1" w:lastColumn="0" w:noHBand="0" w:noVBand="1"/>
      </w:tblPr>
      <w:tblGrid>
        <w:gridCol w:w="1835"/>
        <w:gridCol w:w="8759"/>
      </w:tblGrid>
      <w:tr w:rsidR="00FD01EE" w:rsidRPr="00821692" w14:paraId="3831527D" w14:textId="77777777" w:rsidTr="00FD01EE">
        <w:trPr>
          <w:trHeight w:val="27"/>
        </w:trPr>
        <w:tc>
          <w:tcPr>
            <w:tcW w:w="1835" w:type="dxa"/>
            <w:shd w:val="clear" w:color="auto" w:fill="auto"/>
          </w:tcPr>
          <w:p w14:paraId="22CCC8E6" w14:textId="77777777" w:rsidR="00FD01EE" w:rsidRPr="00821692" w:rsidRDefault="00FD01EE" w:rsidP="0075217F">
            <w:pPr>
              <w:spacing w:afterLines="40" w:after="96" w:line="240" w:lineRule="exact"/>
              <w:rPr>
                <w:rFonts w:ascii="Arial" w:hAnsi="Arial" w:cs="Arial"/>
                <w:b/>
                <w:bCs/>
                <w:color w:val="002060"/>
                <w:szCs w:val="20"/>
              </w:rPr>
            </w:pPr>
          </w:p>
        </w:tc>
        <w:tc>
          <w:tcPr>
            <w:tcW w:w="8759" w:type="dxa"/>
            <w:shd w:val="clear" w:color="auto" w:fill="auto"/>
          </w:tcPr>
          <w:p w14:paraId="2543E192" w14:textId="039D9825" w:rsidR="00FD01EE" w:rsidRPr="00821692" w:rsidRDefault="00FD01EE" w:rsidP="00FD01EE">
            <w:pPr>
              <w:tabs>
                <w:tab w:val="left" w:pos="3210"/>
              </w:tabs>
              <w:snapToGrid w:val="0"/>
              <w:spacing w:afterLines="40" w:after="96" w:line="240" w:lineRule="exact"/>
              <w:rPr>
                <w:rFonts w:cstheme="minorBidi"/>
                <w:szCs w:val="20"/>
              </w:rPr>
            </w:pPr>
          </w:p>
        </w:tc>
      </w:tr>
    </w:tbl>
    <w:tbl>
      <w:tblPr>
        <w:tblStyle w:val="TableGrid"/>
        <w:tblW w:w="0" w:type="auto"/>
        <w:tblBorders>
          <w:top w:val="none" w:sz="0" w:space="0" w:color="auto"/>
          <w:insideH w:val="single" w:sz="8" w:space="0" w:color="0000FF"/>
        </w:tblBorders>
        <w:tblCellMar>
          <w:top w:w="113" w:type="dxa"/>
          <w:left w:w="85" w:type="dxa"/>
          <w:bottom w:w="113" w:type="dxa"/>
          <w:right w:w="85" w:type="dxa"/>
        </w:tblCellMar>
        <w:tblLook w:val="04A0" w:firstRow="1" w:lastRow="0" w:firstColumn="1" w:lastColumn="0" w:noHBand="0" w:noVBand="1"/>
      </w:tblPr>
      <w:tblGrid>
        <w:gridCol w:w="1630"/>
        <w:gridCol w:w="8831"/>
      </w:tblGrid>
      <w:tr w:rsidR="00A63E9A" w:rsidRPr="00821692" w14:paraId="126106DE" w14:textId="77777777" w:rsidTr="006E041F">
        <w:tc>
          <w:tcPr>
            <w:tcW w:w="1638" w:type="dxa"/>
            <w:tcBorders>
              <w:top w:val="single" w:sz="12" w:space="0" w:color="auto"/>
              <w:bottom w:val="single" w:sz="12" w:space="0" w:color="auto"/>
            </w:tcBorders>
            <w:shd w:val="clear" w:color="auto" w:fill="auto"/>
          </w:tcPr>
          <w:p w14:paraId="6D6F5978" w14:textId="77777777" w:rsidR="00A63E9A" w:rsidRPr="00821692" w:rsidRDefault="00A63E9A" w:rsidP="006E041F">
            <w:pPr>
              <w:spacing w:afterLines="40" w:after="96" w:line="240" w:lineRule="exact"/>
              <w:rPr>
                <w:rFonts w:ascii="Arial" w:hAnsi="Arial" w:cs="Arial"/>
                <w:b/>
                <w:bCs/>
                <w:color w:val="002060"/>
                <w:szCs w:val="20"/>
              </w:rPr>
            </w:pPr>
            <w:r w:rsidRPr="00821692">
              <w:rPr>
                <w:rFonts w:ascii="Arial" w:hAnsi="Arial" w:cs="Arial"/>
                <w:b/>
                <w:bCs/>
                <w:color w:val="002060"/>
                <w:szCs w:val="20"/>
              </w:rPr>
              <w:t xml:space="preserve">Safety </w:t>
            </w:r>
          </w:p>
        </w:tc>
        <w:tc>
          <w:tcPr>
            <w:tcW w:w="9152" w:type="dxa"/>
            <w:tcBorders>
              <w:top w:val="single" w:sz="12" w:space="0" w:color="auto"/>
              <w:bottom w:val="single" w:sz="12" w:space="0" w:color="auto"/>
            </w:tcBorders>
            <w:shd w:val="clear" w:color="auto" w:fill="auto"/>
          </w:tcPr>
          <w:p w14:paraId="63C83333" w14:textId="77777777" w:rsidR="00A63E9A" w:rsidRPr="00821692" w:rsidRDefault="00A63E9A" w:rsidP="006E041F">
            <w:pPr>
              <w:spacing w:after="40" w:line="200" w:lineRule="exact"/>
              <w:jc w:val="both"/>
              <w:rPr>
                <w:rFonts w:ascii="Arial" w:hAnsi="Arial" w:cs="Arial"/>
                <w:szCs w:val="20"/>
              </w:rPr>
            </w:pPr>
            <w:r w:rsidRPr="00821692">
              <w:rPr>
                <w:rFonts w:ascii="Arial" w:hAnsi="Arial" w:cs="Arial"/>
                <w:szCs w:val="20"/>
              </w:rPr>
              <w:t>This position will adhere to Global Star Safety Program, including safety rules, practices and training as outlined in the PHINIA CTCM Safety Policy Manual, which includes the use of equipment, protective devices, or clothing that the employer requires. This individual will work in manners that stress the importance of preventing accidents and illnesses. He/she must take every precaution reasonable in the given circumstance for the protection of themselves and coworkers. In addition, he/she is responsible for reporting all injuries and/or possible dangerous situations, incidents, or occurrences to the immediate supervisor.</w:t>
            </w:r>
          </w:p>
        </w:tc>
      </w:tr>
      <w:tr w:rsidR="00A63E9A" w:rsidRPr="00821692" w14:paraId="14B40A7F" w14:textId="77777777" w:rsidTr="006E041F">
        <w:tc>
          <w:tcPr>
            <w:tcW w:w="1638" w:type="dxa"/>
            <w:tcBorders>
              <w:top w:val="single" w:sz="12" w:space="0" w:color="auto"/>
              <w:bottom w:val="single" w:sz="12" w:space="0" w:color="auto"/>
            </w:tcBorders>
            <w:shd w:val="clear" w:color="auto" w:fill="auto"/>
          </w:tcPr>
          <w:p w14:paraId="2F51363C" w14:textId="77777777" w:rsidR="00A63E9A" w:rsidRPr="00821692" w:rsidRDefault="00A63E9A" w:rsidP="006E041F">
            <w:pPr>
              <w:spacing w:afterLines="40" w:after="96" w:line="240" w:lineRule="exact"/>
              <w:rPr>
                <w:rFonts w:ascii="Arial" w:hAnsi="Arial" w:cs="Arial"/>
                <w:b/>
                <w:bCs/>
                <w:color w:val="002060"/>
                <w:szCs w:val="20"/>
              </w:rPr>
            </w:pPr>
            <w:r w:rsidRPr="00821692">
              <w:rPr>
                <w:rFonts w:ascii="Arial" w:hAnsi="Arial" w:cs="Arial"/>
                <w:b/>
                <w:bCs/>
                <w:color w:val="002060"/>
                <w:szCs w:val="20"/>
              </w:rPr>
              <w:t xml:space="preserve">Equal Employment Opportunity </w:t>
            </w:r>
          </w:p>
        </w:tc>
        <w:tc>
          <w:tcPr>
            <w:tcW w:w="9152" w:type="dxa"/>
            <w:tcBorders>
              <w:top w:val="single" w:sz="12" w:space="0" w:color="auto"/>
              <w:bottom w:val="single" w:sz="12" w:space="0" w:color="auto"/>
            </w:tcBorders>
            <w:shd w:val="clear" w:color="auto" w:fill="auto"/>
          </w:tcPr>
          <w:p w14:paraId="599A6F7E" w14:textId="0F4739F9" w:rsidR="00A63E9A" w:rsidRPr="00821692" w:rsidRDefault="00A63E9A" w:rsidP="006E041F">
            <w:pPr>
              <w:spacing w:after="40" w:line="200" w:lineRule="exact"/>
              <w:jc w:val="both"/>
              <w:rPr>
                <w:rFonts w:ascii="Arial" w:hAnsi="Arial" w:cs="Arial"/>
                <w:szCs w:val="20"/>
              </w:rPr>
            </w:pPr>
            <w:r w:rsidRPr="00821692">
              <w:rPr>
                <w:rFonts w:ascii="Arial" w:hAnsi="Arial" w:cs="Arial"/>
                <w:szCs w:val="20"/>
              </w:rPr>
              <w:t xml:space="preserve">PHINIA is an equal employment opportunity employer such that all qualified applicants will receive consideration for employment without regard to race, </w:t>
            </w:r>
            <w:proofErr w:type="spellStart"/>
            <w:r w:rsidRPr="00821692">
              <w:rPr>
                <w:rFonts w:ascii="Arial" w:hAnsi="Arial" w:cs="Arial"/>
                <w:szCs w:val="20"/>
              </w:rPr>
              <w:t>color</w:t>
            </w:r>
            <w:proofErr w:type="spellEnd"/>
            <w:r w:rsidRPr="00821692">
              <w:rPr>
                <w:rFonts w:ascii="Arial" w:hAnsi="Arial" w:cs="Arial"/>
                <w:szCs w:val="20"/>
              </w:rPr>
              <w:t>, age, religion, sex, sexual orientation, gender identity/expression, n</w:t>
            </w:r>
            <w:r w:rsidR="00F42776" w:rsidRPr="00821692">
              <w:rPr>
                <w:szCs w:val="20"/>
              </w:rPr>
              <w:t>ational</w:t>
            </w:r>
            <w:r w:rsidRPr="00821692">
              <w:rPr>
                <w:rFonts w:ascii="Arial" w:hAnsi="Arial" w:cs="Arial"/>
                <w:szCs w:val="20"/>
              </w:rPr>
              <w:t xml:space="preserve"> origin, disability or protected veteran status.</w:t>
            </w:r>
          </w:p>
        </w:tc>
      </w:tr>
      <w:tr w:rsidR="00A63E9A" w:rsidRPr="00821692" w14:paraId="1B1DF184" w14:textId="77777777" w:rsidTr="006E041F">
        <w:tc>
          <w:tcPr>
            <w:tcW w:w="1638" w:type="dxa"/>
            <w:tcBorders>
              <w:top w:val="single" w:sz="12" w:space="0" w:color="auto"/>
              <w:bottom w:val="single" w:sz="12" w:space="0" w:color="auto"/>
            </w:tcBorders>
            <w:shd w:val="clear" w:color="auto" w:fill="auto"/>
          </w:tcPr>
          <w:p w14:paraId="5A0355D2" w14:textId="77777777" w:rsidR="00A63E9A" w:rsidRPr="00821692" w:rsidRDefault="00A63E9A" w:rsidP="006E041F">
            <w:pPr>
              <w:spacing w:afterLines="40" w:after="96" w:line="240" w:lineRule="exact"/>
              <w:rPr>
                <w:rFonts w:ascii="Arial" w:hAnsi="Arial" w:cs="Arial"/>
                <w:b/>
                <w:bCs/>
                <w:color w:val="002060"/>
                <w:szCs w:val="20"/>
              </w:rPr>
            </w:pPr>
            <w:r w:rsidRPr="00821692">
              <w:rPr>
                <w:rFonts w:ascii="Arial" w:hAnsi="Arial" w:cs="Arial"/>
                <w:b/>
                <w:bCs/>
                <w:color w:val="002060"/>
                <w:szCs w:val="20"/>
              </w:rPr>
              <w:t xml:space="preserve">Visa Sponsorship </w:t>
            </w:r>
          </w:p>
        </w:tc>
        <w:tc>
          <w:tcPr>
            <w:tcW w:w="9152" w:type="dxa"/>
            <w:tcBorders>
              <w:top w:val="single" w:sz="12" w:space="0" w:color="auto"/>
              <w:bottom w:val="single" w:sz="12" w:space="0" w:color="auto"/>
            </w:tcBorders>
            <w:shd w:val="clear" w:color="auto" w:fill="auto"/>
          </w:tcPr>
          <w:p w14:paraId="4D002F28" w14:textId="7CF59E36" w:rsidR="00A63E9A" w:rsidRPr="00821692" w:rsidRDefault="00A63E9A" w:rsidP="006E041F">
            <w:pPr>
              <w:spacing w:after="40" w:line="200" w:lineRule="exact"/>
              <w:jc w:val="both"/>
              <w:rPr>
                <w:rFonts w:ascii="Arial" w:hAnsi="Arial" w:cs="Arial"/>
                <w:szCs w:val="20"/>
              </w:rPr>
            </w:pPr>
            <w:r w:rsidRPr="00821692">
              <w:rPr>
                <w:rFonts w:ascii="Arial" w:hAnsi="Arial" w:cs="Arial"/>
                <w:szCs w:val="20"/>
              </w:rPr>
              <w:t xml:space="preserve">PHINIA does provide sponsorship for employment visa status based on business need. However, for this role, applicants must be currently authorized to work in the United </w:t>
            </w:r>
            <w:r w:rsidR="00F42776" w:rsidRPr="00821692">
              <w:rPr>
                <w:rFonts w:ascii="Arial" w:hAnsi="Arial" w:cs="Arial"/>
                <w:szCs w:val="20"/>
              </w:rPr>
              <w:t>Kingdom</w:t>
            </w:r>
            <w:r w:rsidRPr="00821692">
              <w:rPr>
                <w:rFonts w:ascii="Arial" w:hAnsi="Arial" w:cs="Arial"/>
                <w:szCs w:val="20"/>
              </w:rPr>
              <w:t xml:space="preserve"> on a full-time basis.</w:t>
            </w:r>
          </w:p>
        </w:tc>
      </w:tr>
      <w:tr w:rsidR="00A63E9A" w:rsidRPr="00821692" w14:paraId="3F63BD15" w14:textId="77777777" w:rsidTr="006E041F">
        <w:tc>
          <w:tcPr>
            <w:tcW w:w="1638" w:type="dxa"/>
            <w:tcBorders>
              <w:top w:val="single" w:sz="12" w:space="0" w:color="auto"/>
              <w:bottom w:val="single" w:sz="12" w:space="0" w:color="auto"/>
            </w:tcBorders>
            <w:shd w:val="clear" w:color="auto" w:fill="auto"/>
          </w:tcPr>
          <w:p w14:paraId="66C72294" w14:textId="77777777" w:rsidR="00A63E9A" w:rsidRPr="00821692" w:rsidRDefault="00A63E9A" w:rsidP="006E041F">
            <w:pPr>
              <w:spacing w:afterLines="40" w:after="96" w:line="240" w:lineRule="exact"/>
              <w:rPr>
                <w:rFonts w:ascii="Arial" w:hAnsi="Arial" w:cs="Arial"/>
                <w:b/>
                <w:bCs/>
                <w:color w:val="002060"/>
                <w:szCs w:val="20"/>
              </w:rPr>
            </w:pPr>
            <w:r w:rsidRPr="00821692">
              <w:rPr>
                <w:rFonts w:ascii="Arial" w:hAnsi="Arial" w:cs="Arial"/>
                <w:b/>
                <w:bCs/>
                <w:color w:val="002060"/>
                <w:szCs w:val="20"/>
              </w:rPr>
              <w:t xml:space="preserve">No Unauthorized Referrals from Recruiters &amp; Vendors </w:t>
            </w:r>
          </w:p>
        </w:tc>
        <w:tc>
          <w:tcPr>
            <w:tcW w:w="9152" w:type="dxa"/>
            <w:tcBorders>
              <w:top w:val="single" w:sz="12" w:space="0" w:color="auto"/>
              <w:bottom w:val="single" w:sz="12" w:space="0" w:color="auto"/>
            </w:tcBorders>
            <w:shd w:val="clear" w:color="auto" w:fill="auto"/>
          </w:tcPr>
          <w:p w14:paraId="00866881" w14:textId="77777777" w:rsidR="00A63E9A" w:rsidRPr="00821692" w:rsidRDefault="00A63E9A" w:rsidP="006E041F">
            <w:pPr>
              <w:spacing w:after="40" w:line="200" w:lineRule="exact"/>
              <w:jc w:val="both"/>
              <w:rPr>
                <w:rFonts w:ascii="Arial" w:hAnsi="Arial" w:cs="Arial"/>
                <w:szCs w:val="20"/>
              </w:rPr>
            </w:pPr>
            <w:r w:rsidRPr="00821692">
              <w:rPr>
                <w:rFonts w:ascii="Arial" w:hAnsi="Arial" w:cs="Arial"/>
                <w:szCs w:val="20"/>
              </w:rPr>
              <w:t>Please note that PHINIA does not seek or accept unsolicited resumes or offers from third party recruiters or staffing agencies associated with any published or unpublished employment opportunities. Any unsolicited information sent to PHINIA will be considered as unencumbered and free from any fee or charge whatsoever. Only members of our Human Resources Team have the authority to engage or authorize recruiting services, which must be agreed upon before the unsolicited resume or offer is received.</w:t>
            </w:r>
          </w:p>
        </w:tc>
      </w:tr>
    </w:tbl>
    <w:p w14:paraId="7059AC83" w14:textId="77777777" w:rsidR="00A63E9A" w:rsidRPr="00821692" w:rsidRDefault="00A63E9A" w:rsidP="00A63E9A">
      <w:pPr>
        <w:spacing w:after="40" w:line="200" w:lineRule="exact"/>
        <w:jc w:val="both"/>
        <w:rPr>
          <w:rFonts w:ascii="Arial" w:hAnsi="Arial" w:cs="Arial"/>
          <w:szCs w:val="20"/>
        </w:rPr>
      </w:pPr>
    </w:p>
    <w:p w14:paraId="3B3C19BF" w14:textId="77777777" w:rsidR="00A63E9A" w:rsidRPr="00821692" w:rsidRDefault="00A63E9A" w:rsidP="00A63E9A">
      <w:pPr>
        <w:spacing w:after="40" w:line="200" w:lineRule="exact"/>
        <w:jc w:val="center"/>
        <w:rPr>
          <w:rFonts w:ascii="Arial" w:hAnsi="Arial" w:cs="Arial"/>
          <w:szCs w:val="20"/>
        </w:rPr>
      </w:pPr>
      <w:r w:rsidRPr="00821692">
        <w:rPr>
          <w:rFonts w:ascii="Arial" w:hAnsi="Arial" w:cs="Arial"/>
          <w:szCs w:val="20"/>
        </w:rPr>
        <w:t>Advancing sustainability today, powering carbon-free tomorrow. Join us on this shared journey to a brighter tomorrow.</w:t>
      </w:r>
    </w:p>
    <w:p w14:paraId="0BB48D7B" w14:textId="77777777" w:rsidR="00A63E9A" w:rsidRPr="00821692" w:rsidRDefault="00A63E9A" w:rsidP="00A63E9A">
      <w:pPr>
        <w:spacing w:after="40" w:line="200" w:lineRule="exact"/>
        <w:jc w:val="center"/>
        <w:rPr>
          <w:rStyle w:val="Hyperlink"/>
          <w:rFonts w:ascii="Arial" w:hAnsi="Arial" w:cs="Arial"/>
          <w:szCs w:val="20"/>
        </w:rPr>
      </w:pPr>
      <w:r w:rsidRPr="00821692">
        <w:rPr>
          <w:rFonts w:ascii="Arial" w:hAnsi="Arial" w:cs="Arial"/>
          <w:szCs w:val="20"/>
        </w:rPr>
        <w:t xml:space="preserve">For more information about PHINIA, please visit </w:t>
      </w:r>
      <w:hyperlink r:id="rId12" w:history="1">
        <w:r w:rsidRPr="00821692">
          <w:rPr>
            <w:rStyle w:val="Hyperlink"/>
            <w:rFonts w:ascii="Arial" w:hAnsi="Arial" w:cs="Arial"/>
            <w:szCs w:val="20"/>
          </w:rPr>
          <w:t>www.phinia.com</w:t>
        </w:r>
      </w:hyperlink>
    </w:p>
    <w:p w14:paraId="28A45A0A" w14:textId="77777777" w:rsidR="00A63E9A" w:rsidRPr="00821692" w:rsidRDefault="00A63E9A" w:rsidP="00A63E9A">
      <w:pPr>
        <w:spacing w:after="40" w:line="200" w:lineRule="exact"/>
        <w:rPr>
          <w:rStyle w:val="Hyperlink"/>
          <w:rFonts w:ascii="Arial" w:hAnsi="Arial" w:cs="Arial"/>
          <w:szCs w:val="20"/>
        </w:rPr>
      </w:pPr>
    </w:p>
    <w:p w14:paraId="70A430B4" w14:textId="77777777" w:rsidR="00A63E9A" w:rsidRPr="00821692" w:rsidRDefault="00A63E9A" w:rsidP="00A63E9A">
      <w:pPr>
        <w:spacing w:after="40" w:line="200" w:lineRule="exact"/>
        <w:jc w:val="both"/>
        <w:rPr>
          <w:rFonts w:ascii="Arial" w:hAnsi="Arial" w:cs="Arial"/>
          <w:szCs w:val="20"/>
        </w:rPr>
      </w:pPr>
    </w:p>
    <w:p w14:paraId="48F27727" w14:textId="77777777" w:rsidR="002A3A8D" w:rsidRPr="00821692" w:rsidRDefault="002A3A8D" w:rsidP="002A3A8D">
      <w:pPr>
        <w:spacing w:after="40" w:line="200" w:lineRule="exact"/>
        <w:jc w:val="center"/>
        <w:rPr>
          <w:rFonts w:ascii="Arial" w:hAnsi="Arial" w:cs="Arial"/>
          <w:szCs w:val="20"/>
        </w:rPr>
      </w:pPr>
    </w:p>
    <w:p w14:paraId="51596A3C" w14:textId="77777777" w:rsidR="00EF77B5" w:rsidRPr="00821692" w:rsidRDefault="00EF77B5">
      <w:pPr>
        <w:spacing w:line="240" w:lineRule="auto"/>
        <w:rPr>
          <w:szCs w:val="20"/>
        </w:rPr>
      </w:pPr>
      <w:r w:rsidRPr="00821692">
        <w:rPr>
          <w:szCs w:val="20"/>
        </w:rPr>
        <w:br w:type="page"/>
      </w:r>
    </w:p>
    <w:p w14:paraId="6E4D66D2" w14:textId="77777777" w:rsidR="00280A11" w:rsidRPr="001C47B9" w:rsidRDefault="00280A11" w:rsidP="00A97640">
      <w:pPr>
        <w:rPr>
          <w:szCs w:val="20"/>
        </w:rPr>
      </w:pPr>
    </w:p>
    <w:sectPr w:rsidR="00280A11" w:rsidRPr="001C47B9" w:rsidSect="006E6CED">
      <w:footerReference w:type="even" r:id="rId13"/>
      <w:footerReference w:type="default" r:id="rId14"/>
      <w:headerReference w:type="first" r:id="rId15"/>
      <w:footerReference w:type="first" r:id="rId16"/>
      <w:pgSz w:w="11901" w:h="16840"/>
      <w:pgMar w:top="1077"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0496" w14:textId="77777777" w:rsidR="00F42776" w:rsidRPr="00821692" w:rsidRDefault="00F42776" w:rsidP="003E27D3">
      <w:r w:rsidRPr="00821692">
        <w:separator/>
      </w:r>
    </w:p>
  </w:endnote>
  <w:endnote w:type="continuationSeparator" w:id="0">
    <w:p w14:paraId="639DDD76" w14:textId="77777777" w:rsidR="00F42776" w:rsidRPr="00821692" w:rsidRDefault="00F42776" w:rsidP="003E27D3">
      <w:r w:rsidRPr="008216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212114"/>
      <w:docPartObj>
        <w:docPartGallery w:val="Page Numbers (Bottom of Page)"/>
        <w:docPartUnique/>
      </w:docPartObj>
    </w:sdtPr>
    <w:sdtEndPr>
      <w:rPr>
        <w:rStyle w:val="PageNumber"/>
      </w:rPr>
    </w:sdtEndPr>
    <w:sdtContent>
      <w:p w14:paraId="24655499" w14:textId="77777777" w:rsidR="00957CF9" w:rsidRPr="00821692" w:rsidRDefault="00957CF9" w:rsidP="00FE2566">
        <w:pPr>
          <w:framePr w:wrap="none" w:vAnchor="text" w:hAnchor="margin" w:xAlign="right" w:y="1"/>
          <w:rPr>
            <w:rStyle w:val="PageNumber"/>
          </w:rPr>
        </w:pPr>
        <w:r w:rsidRPr="00821692">
          <w:rPr>
            <w:rStyle w:val="PageNumber"/>
          </w:rPr>
          <w:fldChar w:fldCharType="begin"/>
        </w:r>
        <w:r w:rsidRPr="00821692">
          <w:rPr>
            <w:rStyle w:val="PageNumber"/>
          </w:rPr>
          <w:instrText xml:space="preserve"> PAGE </w:instrText>
        </w:r>
        <w:r w:rsidRPr="00821692">
          <w:rPr>
            <w:rStyle w:val="PageNumber"/>
          </w:rPr>
          <w:fldChar w:fldCharType="separate"/>
        </w:r>
        <w:r w:rsidR="00525ADC" w:rsidRPr="00821692">
          <w:rPr>
            <w:rStyle w:val="PageNumber"/>
          </w:rPr>
          <w:t>2</w:t>
        </w:r>
        <w:r w:rsidRPr="00821692">
          <w:rPr>
            <w:rStyle w:val="PageNumber"/>
          </w:rPr>
          <w:fldChar w:fldCharType="end"/>
        </w:r>
      </w:p>
    </w:sdtContent>
  </w:sdt>
  <w:p w14:paraId="5E6B44AD" w14:textId="77777777" w:rsidR="00957CF9" w:rsidRPr="00821692" w:rsidRDefault="00957CF9" w:rsidP="00957C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4088"/>
      <w:docPartObj>
        <w:docPartGallery w:val="Page Numbers (Bottom of Page)"/>
        <w:docPartUnique/>
      </w:docPartObj>
    </w:sdtPr>
    <w:sdtEndPr>
      <w:rPr>
        <w:rStyle w:val="PageNumber"/>
      </w:rPr>
    </w:sdtEndPr>
    <w:sdtContent>
      <w:p w14:paraId="4B944683" w14:textId="77777777" w:rsidR="00957CF9" w:rsidRPr="00821692" w:rsidRDefault="00957CF9" w:rsidP="00FE2566">
        <w:pPr>
          <w:framePr w:wrap="none" w:vAnchor="text" w:hAnchor="margin" w:xAlign="right" w:y="1"/>
          <w:rPr>
            <w:rStyle w:val="PageNumber"/>
          </w:rPr>
        </w:pPr>
        <w:r w:rsidRPr="00821692">
          <w:rPr>
            <w:rStyle w:val="PageNumber"/>
          </w:rPr>
          <w:fldChar w:fldCharType="begin"/>
        </w:r>
        <w:r w:rsidRPr="00821692">
          <w:rPr>
            <w:rStyle w:val="PageNumber"/>
          </w:rPr>
          <w:instrText xml:space="preserve"> PAGE </w:instrText>
        </w:r>
        <w:r w:rsidRPr="00821692">
          <w:rPr>
            <w:rStyle w:val="PageNumber"/>
          </w:rPr>
          <w:fldChar w:fldCharType="separate"/>
        </w:r>
        <w:r w:rsidRPr="00821692">
          <w:rPr>
            <w:rStyle w:val="PageNumber"/>
          </w:rPr>
          <w:t>2</w:t>
        </w:r>
        <w:r w:rsidRPr="00821692">
          <w:rPr>
            <w:rStyle w:val="PageNumber"/>
          </w:rPr>
          <w:fldChar w:fldCharType="end"/>
        </w:r>
      </w:p>
    </w:sdtContent>
  </w:sdt>
  <w:p w14:paraId="1261E277" w14:textId="77777777" w:rsidR="00957CF9" w:rsidRPr="00821692" w:rsidRDefault="006E6CED" w:rsidP="004C7B3D">
    <w:pPr>
      <w:ind w:right="576"/>
      <w:jc w:val="right"/>
    </w:pPr>
    <w:r w:rsidRPr="00821692">
      <w:rPr>
        <w:szCs w:val="20"/>
      </w:rPr>
      <mc:AlternateContent>
        <mc:Choice Requires="wps">
          <w:drawing>
            <wp:anchor distT="0" distB="0" distL="114300" distR="114300" simplePos="0" relativeHeight="251670528" behindDoc="0" locked="0" layoutInCell="1" allowOverlap="1" wp14:anchorId="3A11E768" wp14:editId="5BE7572C">
              <wp:simplePos x="0" y="0"/>
              <wp:positionH relativeFrom="page">
                <wp:posOffset>417830</wp:posOffset>
              </wp:positionH>
              <wp:positionV relativeFrom="page">
                <wp:posOffset>9757410</wp:posOffset>
              </wp:positionV>
              <wp:extent cx="6663600" cy="0"/>
              <wp:effectExtent l="0" t="0" r="17145" b="12700"/>
              <wp:wrapNone/>
              <wp:docPr id="1345881630" name="Footer Line"/>
              <wp:cNvGraphicFramePr/>
              <a:graphic xmlns:a="http://schemas.openxmlformats.org/drawingml/2006/main">
                <a:graphicData uri="http://schemas.microsoft.com/office/word/2010/wordprocessingShape">
                  <wps:wsp>
                    <wps:cNvCnPr/>
                    <wps:spPr>
                      <a:xfrm>
                        <a:off x="0" y="0"/>
                        <a:ext cx="6663600" cy="0"/>
                      </a:xfrm>
                      <a:prstGeom prst="line">
                        <a:avLst/>
                      </a:prstGeom>
                      <a:ln w="9525" cap="rnd">
                        <a:solidFill>
                          <a:schemeClr val="accent3"/>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1B7CAD91" id="Footer Line"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2.9pt,768.3pt" to="557.6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" strokecolor="#b3b3b3 [3206]">
              <v:stroke joinstyle="miter" endcap="round"/>
              <w10:wrap anchorx="page" anchory="page"/>
            </v:line>
          </w:pict>
        </mc:Fallback>
      </mc:AlternateContent>
    </w:r>
    <w:r w:rsidR="00525ADC" w:rsidRPr="00821692">
      <w:rPr>
        <w:rFonts w:ascii="Times New Roman"/>
      </w:rPr>
      <w:drawing>
        <wp:anchor distT="0" distB="0" distL="114300" distR="114300" simplePos="0" relativeHeight="251668480" behindDoc="0" locked="0" layoutInCell="1" allowOverlap="1" wp14:anchorId="55081D62" wp14:editId="335C0FBF">
          <wp:simplePos x="0" y="0"/>
          <wp:positionH relativeFrom="column">
            <wp:posOffset>0</wp:posOffset>
          </wp:positionH>
          <wp:positionV relativeFrom="paragraph">
            <wp:posOffset>-635</wp:posOffset>
          </wp:positionV>
          <wp:extent cx="726440" cy="136112"/>
          <wp:effectExtent l="0" t="0" r="0" b="3810"/>
          <wp:wrapNone/>
          <wp:docPr id="2083823891" name="Graphic 208382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049" name="Graphic 4216690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440" cy="136112"/>
                  </a:xfrm>
                  <a:prstGeom prst="rect">
                    <a:avLst/>
                  </a:prstGeom>
                </pic:spPr>
              </pic:pic>
            </a:graphicData>
          </a:graphic>
          <wp14:sizeRelH relativeFrom="margin">
            <wp14:pctWidth>0</wp14:pctWidth>
          </wp14:sizeRelH>
          <wp14:sizeRelV relativeFrom="margin">
            <wp14:pctHeight>0</wp14:pctHeight>
          </wp14:sizeRelV>
        </wp:anchor>
      </w:drawing>
    </w:r>
    <w:r w:rsidR="007C27BD" w:rsidRPr="00821692">
      <w:t>HIGHLY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93650"/>
      <w:docPartObj>
        <w:docPartGallery w:val="Page Numbers (Bottom of Page)"/>
        <w:docPartUnique/>
      </w:docPartObj>
    </w:sdtPr>
    <w:sdtEndPr>
      <w:rPr>
        <w:rStyle w:val="PageNumber"/>
      </w:rPr>
    </w:sdtEndPr>
    <w:sdtContent>
      <w:p w14:paraId="5380E62F" w14:textId="77777777" w:rsidR="00957CF9" w:rsidRPr="00821692" w:rsidRDefault="00957CF9" w:rsidP="00FE2566">
        <w:pPr>
          <w:framePr w:wrap="none" w:vAnchor="text" w:hAnchor="margin" w:xAlign="right" w:y="1"/>
          <w:rPr>
            <w:rStyle w:val="PageNumber"/>
          </w:rPr>
        </w:pPr>
        <w:r w:rsidRPr="00821692">
          <w:rPr>
            <w:rStyle w:val="PageNumber"/>
          </w:rPr>
          <w:fldChar w:fldCharType="begin"/>
        </w:r>
        <w:r w:rsidRPr="00821692">
          <w:rPr>
            <w:rStyle w:val="PageNumber"/>
          </w:rPr>
          <w:instrText xml:space="preserve"> PAGE </w:instrText>
        </w:r>
        <w:r w:rsidRPr="00821692">
          <w:rPr>
            <w:rStyle w:val="PageNumber"/>
          </w:rPr>
          <w:fldChar w:fldCharType="separate"/>
        </w:r>
        <w:r w:rsidRPr="00821692">
          <w:rPr>
            <w:rStyle w:val="PageNumber"/>
          </w:rPr>
          <w:t>1</w:t>
        </w:r>
        <w:r w:rsidRPr="00821692">
          <w:rPr>
            <w:rStyle w:val="PageNumber"/>
          </w:rPr>
          <w:fldChar w:fldCharType="end"/>
        </w:r>
      </w:p>
    </w:sdtContent>
  </w:sdt>
  <w:p w14:paraId="130B898B" w14:textId="77777777" w:rsidR="0048255F" w:rsidRPr="00821692" w:rsidRDefault="006E6CED" w:rsidP="006E6CED">
    <w:pPr>
      <w:ind w:right="538"/>
      <w:jc w:val="right"/>
      <w:rPr>
        <w:szCs w:val="20"/>
      </w:rPr>
    </w:pPr>
    <w:r w:rsidRPr="00821692">
      <w:rPr>
        <w:szCs w:val="20"/>
      </w:rPr>
      <mc:AlternateContent>
        <mc:Choice Requires="wps">
          <w:drawing>
            <wp:anchor distT="0" distB="0" distL="114300" distR="114300" simplePos="0" relativeHeight="251664384" behindDoc="0" locked="0" layoutInCell="1" allowOverlap="1" wp14:anchorId="4DC99895" wp14:editId="49EF6A8A">
              <wp:simplePos x="0" y="0"/>
              <wp:positionH relativeFrom="page">
                <wp:posOffset>419386</wp:posOffset>
              </wp:positionH>
              <wp:positionV relativeFrom="page">
                <wp:posOffset>9755892</wp:posOffset>
              </wp:positionV>
              <wp:extent cx="6662058" cy="0"/>
              <wp:effectExtent l="0" t="0" r="18415" b="12700"/>
              <wp:wrapNone/>
              <wp:docPr id="9" name="Footer Line"/>
              <wp:cNvGraphicFramePr/>
              <a:graphic xmlns:a="http://schemas.openxmlformats.org/drawingml/2006/main">
                <a:graphicData uri="http://schemas.microsoft.com/office/word/2010/wordprocessingShape">
                  <wps:wsp>
                    <wps:cNvCnPr/>
                    <wps:spPr>
                      <a:xfrm>
                        <a:off x="0" y="0"/>
                        <a:ext cx="6662058" cy="0"/>
                      </a:xfrm>
                      <a:prstGeom prst="line">
                        <a:avLst/>
                      </a:prstGeom>
                      <a:ln w="9525" cap="rnd">
                        <a:solidFill>
                          <a:schemeClr val="accent3"/>
                        </a:solidFill>
                      </a:ln>
                    </wps:spPr>
                    <wps:style>
                      <a:lnRef idx="1">
                        <a:schemeClr val="accent1"/>
                      </a:lnRef>
                      <a:fillRef idx="0">
                        <a:schemeClr val="accent1"/>
                      </a:fillRef>
                      <a:effectRef idx="0">
                        <a:srgbClr val="000000"/>
                      </a:effectRef>
                      <a:fontRef idx="minor">
                        <a:schemeClr val="lt1"/>
                      </a:fontRef>
                    </wps:style>
                    <wps:bodyPr/>
                  </wps:wsp>
                </a:graphicData>
              </a:graphic>
              <wp14:sizeRelH relativeFrom="margin">
                <wp14:pctWidth>0</wp14:pctWidth>
              </wp14:sizeRelH>
            </wp:anchor>
          </w:drawing>
        </mc:Choice>
        <mc:Fallback>
          <w:pict>
            <v:line w14:anchorId="5C68FA63" id="Footer Line"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3pt,768.2pt" to="557.55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" strokecolor="#b3b3b3 [3206]">
              <v:stroke joinstyle="miter" endcap="round"/>
              <w10:wrap anchorx="page" anchory="page"/>
            </v:line>
          </w:pict>
        </mc:Fallback>
      </mc:AlternateContent>
    </w:r>
    <w:r w:rsidR="007C27BD" w:rsidRPr="00821692">
      <w:t>HIGHLY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7D21" w14:textId="77777777" w:rsidR="00F42776" w:rsidRPr="00821692" w:rsidRDefault="00F42776" w:rsidP="003E27D3">
      <w:r w:rsidRPr="00821692">
        <w:separator/>
      </w:r>
    </w:p>
  </w:footnote>
  <w:footnote w:type="continuationSeparator" w:id="0">
    <w:p w14:paraId="358D3737" w14:textId="77777777" w:rsidR="00F42776" w:rsidRPr="00821692" w:rsidRDefault="00F42776" w:rsidP="003E27D3">
      <w:r w:rsidRPr="008216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9269" w14:textId="77777777" w:rsidR="003E27D3" w:rsidRPr="00821692" w:rsidRDefault="00525ADC" w:rsidP="00525ADC">
    <w:pPr>
      <w:pStyle w:val="Header"/>
      <w:spacing w:after="1200"/>
    </w:pPr>
    <w:r w:rsidRPr="00821692">
      <w:rPr>
        <w:rFonts w:ascii="Times New Roman"/>
      </w:rPr>
      <w:drawing>
        <wp:inline distT="0" distB="0" distL="0" distR="0" wp14:anchorId="6DD4CF60" wp14:editId="18249089">
          <wp:extent cx="1710000" cy="320400"/>
          <wp:effectExtent l="0" t="0" r="0" b="0"/>
          <wp:docPr id="421669049" name="Graphic 42166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049" name="Graphic 42166904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32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367"/>
    <w:multiLevelType w:val="hybridMultilevel"/>
    <w:tmpl w:val="63981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B6040"/>
    <w:multiLevelType w:val="multilevel"/>
    <w:tmpl w:val="AA4E2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204EC2"/>
    <w:multiLevelType w:val="hybridMultilevel"/>
    <w:tmpl w:val="4068665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1CF80B9C"/>
    <w:multiLevelType w:val="multilevel"/>
    <w:tmpl w:val="8578C2D8"/>
    <w:lvl w:ilvl="0">
      <w:start w:val="1"/>
      <w:numFmt w:val="bullet"/>
      <w:pStyle w:val="Bullets"/>
      <w:lvlText w:val="•"/>
      <w:lvlJc w:val="left"/>
      <w:pPr>
        <w:ind w:left="216" w:hanging="216"/>
      </w:pPr>
      <w:rPr>
        <w:rFonts w:ascii="Trebuchet MS" w:hAnsi="Trebuchet MS" w:hint="default"/>
      </w:rPr>
    </w:lvl>
    <w:lvl w:ilvl="1">
      <w:start w:val="1"/>
      <w:numFmt w:val="bullet"/>
      <w:lvlText w:val="—"/>
      <w:lvlJc w:val="left"/>
      <w:pPr>
        <w:ind w:left="432" w:hanging="216"/>
      </w:pPr>
      <w:rPr>
        <w:rFonts w:ascii="Trebuchet MS" w:hAnsi="Trebuchet MS" w:hint="default"/>
      </w:rPr>
    </w:lvl>
    <w:lvl w:ilvl="2">
      <w:start w:val="1"/>
      <w:numFmt w:val="bullet"/>
      <w:lvlText w:val="—"/>
      <w:lvlJc w:val="left"/>
      <w:pPr>
        <w:ind w:left="648" w:hanging="216"/>
      </w:pPr>
      <w:rPr>
        <w:rFonts w:ascii="Trebuchet MS" w:hAnsi="Trebuchet MS" w:hint="default"/>
      </w:rPr>
    </w:lvl>
    <w:lvl w:ilvl="3">
      <w:start w:val="1"/>
      <w:numFmt w:val="bullet"/>
      <w:lvlText w:val="—"/>
      <w:lvlJc w:val="left"/>
      <w:pPr>
        <w:ind w:left="864" w:hanging="216"/>
      </w:pPr>
      <w:rPr>
        <w:rFonts w:ascii="Trebuchet MS" w:hAnsi="Trebuchet MS" w:hint="default"/>
      </w:rPr>
    </w:lvl>
    <w:lvl w:ilvl="4">
      <w:start w:val="1"/>
      <w:numFmt w:val="bullet"/>
      <w:lvlText w:val="—"/>
      <w:lvlJc w:val="left"/>
      <w:pPr>
        <w:ind w:left="1080" w:hanging="216"/>
      </w:pPr>
      <w:rPr>
        <w:rFonts w:ascii="Trebuchet MS" w:hAnsi="Trebuchet MS" w:hint="default"/>
      </w:rPr>
    </w:lvl>
    <w:lvl w:ilvl="5">
      <w:start w:val="1"/>
      <w:numFmt w:val="bullet"/>
      <w:lvlText w:val="—"/>
      <w:lvlJc w:val="left"/>
      <w:pPr>
        <w:ind w:left="1296" w:hanging="216"/>
      </w:pPr>
      <w:rPr>
        <w:rFonts w:ascii="Trebuchet MS" w:hAnsi="Trebuchet MS" w:hint="default"/>
      </w:rPr>
    </w:lvl>
    <w:lvl w:ilvl="6">
      <w:start w:val="1"/>
      <w:numFmt w:val="bullet"/>
      <w:lvlText w:val="—"/>
      <w:lvlJc w:val="left"/>
      <w:pPr>
        <w:ind w:left="1512" w:hanging="216"/>
      </w:pPr>
      <w:rPr>
        <w:rFonts w:ascii="Trebuchet MS" w:hAnsi="Trebuchet MS" w:hint="default"/>
      </w:rPr>
    </w:lvl>
    <w:lvl w:ilvl="7">
      <w:start w:val="1"/>
      <w:numFmt w:val="bullet"/>
      <w:lvlText w:val="—"/>
      <w:lvlJc w:val="left"/>
      <w:pPr>
        <w:ind w:left="1728" w:hanging="216"/>
      </w:pPr>
      <w:rPr>
        <w:rFonts w:ascii="Trebuchet MS" w:hAnsi="Trebuchet MS" w:hint="default"/>
      </w:rPr>
    </w:lvl>
    <w:lvl w:ilvl="8">
      <w:start w:val="1"/>
      <w:numFmt w:val="bullet"/>
      <w:lvlText w:val="—"/>
      <w:lvlJc w:val="left"/>
      <w:pPr>
        <w:ind w:left="1944" w:hanging="216"/>
      </w:pPr>
      <w:rPr>
        <w:rFonts w:ascii="Trebuchet MS" w:hAnsi="Trebuchet MS" w:hint="default"/>
      </w:rPr>
    </w:lvl>
  </w:abstractNum>
  <w:abstractNum w:abstractNumId="4" w15:restartNumberingAfterBreak="0">
    <w:nsid w:val="24DD61AE"/>
    <w:multiLevelType w:val="hybridMultilevel"/>
    <w:tmpl w:val="4C6C20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B3C36"/>
    <w:multiLevelType w:val="hybridMultilevel"/>
    <w:tmpl w:val="42B6C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DD6175"/>
    <w:multiLevelType w:val="hybridMultilevel"/>
    <w:tmpl w:val="3DE6E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80EE7"/>
    <w:multiLevelType w:val="hybridMultilevel"/>
    <w:tmpl w:val="D6FE4F68"/>
    <w:lvl w:ilvl="0" w:tplc="7F08F0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A0D"/>
    <w:multiLevelType w:val="hybridMultilevel"/>
    <w:tmpl w:val="2202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30CC1"/>
    <w:multiLevelType w:val="hybridMultilevel"/>
    <w:tmpl w:val="F5B82C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567632D3"/>
    <w:multiLevelType w:val="hybridMultilevel"/>
    <w:tmpl w:val="0A94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D3915"/>
    <w:multiLevelType w:val="hybridMultilevel"/>
    <w:tmpl w:val="27D81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B3BC8"/>
    <w:multiLevelType w:val="multilevel"/>
    <w:tmpl w:val="2D30F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E8B7E09"/>
    <w:multiLevelType w:val="hybridMultilevel"/>
    <w:tmpl w:val="912E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3946634">
    <w:abstractNumId w:val="12"/>
  </w:num>
  <w:num w:numId="2" w16cid:durableId="12921205">
    <w:abstractNumId w:val="12"/>
  </w:num>
  <w:num w:numId="3" w16cid:durableId="610211677">
    <w:abstractNumId w:val="12"/>
  </w:num>
  <w:num w:numId="4" w16cid:durableId="271591974">
    <w:abstractNumId w:val="3"/>
  </w:num>
  <w:num w:numId="5" w16cid:durableId="2145266687">
    <w:abstractNumId w:val="3"/>
  </w:num>
  <w:num w:numId="6" w16cid:durableId="516233964">
    <w:abstractNumId w:val="0"/>
  </w:num>
  <w:num w:numId="7" w16cid:durableId="121266206">
    <w:abstractNumId w:val="13"/>
  </w:num>
  <w:num w:numId="8" w16cid:durableId="1554124627">
    <w:abstractNumId w:val="11"/>
  </w:num>
  <w:num w:numId="9" w16cid:durableId="1690646783">
    <w:abstractNumId w:val="6"/>
  </w:num>
  <w:num w:numId="10" w16cid:durableId="1168643054">
    <w:abstractNumId w:val="8"/>
  </w:num>
  <w:num w:numId="11" w16cid:durableId="1668555078">
    <w:abstractNumId w:val="7"/>
  </w:num>
  <w:num w:numId="12" w16cid:durableId="29651756">
    <w:abstractNumId w:val="10"/>
  </w:num>
  <w:num w:numId="13" w16cid:durableId="808673982">
    <w:abstractNumId w:val="1"/>
  </w:num>
  <w:num w:numId="14" w16cid:durableId="1420448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414952">
    <w:abstractNumId w:val="5"/>
  </w:num>
  <w:num w:numId="16" w16cid:durableId="935946562">
    <w:abstractNumId w:val="4"/>
  </w:num>
  <w:num w:numId="17" w16cid:durableId="1868133230">
    <w:abstractNumId w:val="9"/>
  </w:num>
  <w:num w:numId="18" w16cid:durableId="128183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76"/>
    <w:rsid w:val="0000316E"/>
    <w:rsid w:val="000070BB"/>
    <w:rsid w:val="00007CAD"/>
    <w:rsid w:val="00014B60"/>
    <w:rsid w:val="0002418D"/>
    <w:rsid w:val="00050117"/>
    <w:rsid w:val="000A4B1C"/>
    <w:rsid w:val="000A684C"/>
    <w:rsid w:val="000A7AF1"/>
    <w:rsid w:val="000B2723"/>
    <w:rsid w:val="000C1F2D"/>
    <w:rsid w:val="000C2FAF"/>
    <w:rsid w:val="000E625D"/>
    <w:rsid w:val="00101463"/>
    <w:rsid w:val="00101657"/>
    <w:rsid w:val="00101721"/>
    <w:rsid w:val="001043B7"/>
    <w:rsid w:val="00117E9E"/>
    <w:rsid w:val="00136AF4"/>
    <w:rsid w:val="0014409D"/>
    <w:rsid w:val="0014447F"/>
    <w:rsid w:val="00167618"/>
    <w:rsid w:val="00172A92"/>
    <w:rsid w:val="00180DE0"/>
    <w:rsid w:val="001A04CB"/>
    <w:rsid w:val="001B7B64"/>
    <w:rsid w:val="001C47B9"/>
    <w:rsid w:val="001C740E"/>
    <w:rsid w:val="001C78B9"/>
    <w:rsid w:val="00203389"/>
    <w:rsid w:val="002309CB"/>
    <w:rsid w:val="00232300"/>
    <w:rsid w:val="002329AC"/>
    <w:rsid w:val="00244C1A"/>
    <w:rsid w:val="002642BC"/>
    <w:rsid w:val="0026576D"/>
    <w:rsid w:val="00274AB8"/>
    <w:rsid w:val="00280A11"/>
    <w:rsid w:val="002836F1"/>
    <w:rsid w:val="00283852"/>
    <w:rsid w:val="00296AA1"/>
    <w:rsid w:val="002A3A8D"/>
    <w:rsid w:val="002A509F"/>
    <w:rsid w:val="002E0BC4"/>
    <w:rsid w:val="002E3FCA"/>
    <w:rsid w:val="002F50D0"/>
    <w:rsid w:val="003001E5"/>
    <w:rsid w:val="003076E3"/>
    <w:rsid w:val="00315FD9"/>
    <w:rsid w:val="00335108"/>
    <w:rsid w:val="003454B3"/>
    <w:rsid w:val="0037464B"/>
    <w:rsid w:val="00384BAD"/>
    <w:rsid w:val="0038529E"/>
    <w:rsid w:val="00385BDB"/>
    <w:rsid w:val="003A5419"/>
    <w:rsid w:val="003B200F"/>
    <w:rsid w:val="003B3248"/>
    <w:rsid w:val="003D77DC"/>
    <w:rsid w:val="003E1179"/>
    <w:rsid w:val="003E27D3"/>
    <w:rsid w:val="003E4AD4"/>
    <w:rsid w:val="003F21CF"/>
    <w:rsid w:val="003F5413"/>
    <w:rsid w:val="003F6F11"/>
    <w:rsid w:val="003F7930"/>
    <w:rsid w:val="004005EE"/>
    <w:rsid w:val="00402754"/>
    <w:rsid w:val="004208A0"/>
    <w:rsid w:val="004237C0"/>
    <w:rsid w:val="004329E8"/>
    <w:rsid w:val="00476C8E"/>
    <w:rsid w:val="0048255F"/>
    <w:rsid w:val="004A7DF2"/>
    <w:rsid w:val="004C755D"/>
    <w:rsid w:val="004C7B3D"/>
    <w:rsid w:val="004D0C70"/>
    <w:rsid w:val="004E2E5D"/>
    <w:rsid w:val="004F5685"/>
    <w:rsid w:val="004F5E4D"/>
    <w:rsid w:val="005026CB"/>
    <w:rsid w:val="00505793"/>
    <w:rsid w:val="0051354B"/>
    <w:rsid w:val="00520F36"/>
    <w:rsid w:val="0052508E"/>
    <w:rsid w:val="00525ADC"/>
    <w:rsid w:val="00541585"/>
    <w:rsid w:val="0054646A"/>
    <w:rsid w:val="0056068D"/>
    <w:rsid w:val="00573482"/>
    <w:rsid w:val="00585346"/>
    <w:rsid w:val="005A0E57"/>
    <w:rsid w:val="005B0024"/>
    <w:rsid w:val="005E44AD"/>
    <w:rsid w:val="005F58BD"/>
    <w:rsid w:val="00600242"/>
    <w:rsid w:val="00601835"/>
    <w:rsid w:val="006050B6"/>
    <w:rsid w:val="00614794"/>
    <w:rsid w:val="00616373"/>
    <w:rsid w:val="0062340D"/>
    <w:rsid w:val="006407E3"/>
    <w:rsid w:val="00665B7E"/>
    <w:rsid w:val="0068001C"/>
    <w:rsid w:val="006B7DE7"/>
    <w:rsid w:val="006C5500"/>
    <w:rsid w:val="006C728F"/>
    <w:rsid w:val="006D0DCE"/>
    <w:rsid w:val="006D5610"/>
    <w:rsid w:val="006E6CED"/>
    <w:rsid w:val="006F3AD4"/>
    <w:rsid w:val="006F4B2D"/>
    <w:rsid w:val="00715504"/>
    <w:rsid w:val="00737658"/>
    <w:rsid w:val="00742C05"/>
    <w:rsid w:val="0076072C"/>
    <w:rsid w:val="00776743"/>
    <w:rsid w:val="00783A1F"/>
    <w:rsid w:val="00790470"/>
    <w:rsid w:val="00794000"/>
    <w:rsid w:val="007B7D39"/>
    <w:rsid w:val="007C27BD"/>
    <w:rsid w:val="007C573F"/>
    <w:rsid w:val="007C6663"/>
    <w:rsid w:val="007D0191"/>
    <w:rsid w:val="007D1790"/>
    <w:rsid w:val="007D1D83"/>
    <w:rsid w:val="007D5967"/>
    <w:rsid w:val="007E1053"/>
    <w:rsid w:val="007E50E2"/>
    <w:rsid w:val="007F1BCF"/>
    <w:rsid w:val="007F2FF6"/>
    <w:rsid w:val="007F4431"/>
    <w:rsid w:val="00800268"/>
    <w:rsid w:val="00814B14"/>
    <w:rsid w:val="00821692"/>
    <w:rsid w:val="00825C29"/>
    <w:rsid w:val="00830A7C"/>
    <w:rsid w:val="00835EC1"/>
    <w:rsid w:val="00836C36"/>
    <w:rsid w:val="00837F01"/>
    <w:rsid w:val="00841319"/>
    <w:rsid w:val="0084575F"/>
    <w:rsid w:val="00875D1C"/>
    <w:rsid w:val="008767EE"/>
    <w:rsid w:val="008857EE"/>
    <w:rsid w:val="008909C9"/>
    <w:rsid w:val="008938E5"/>
    <w:rsid w:val="008A2311"/>
    <w:rsid w:val="008A45C7"/>
    <w:rsid w:val="008D63C6"/>
    <w:rsid w:val="008E3049"/>
    <w:rsid w:val="008E5B2E"/>
    <w:rsid w:val="0090032B"/>
    <w:rsid w:val="009051AF"/>
    <w:rsid w:val="009205B0"/>
    <w:rsid w:val="00920795"/>
    <w:rsid w:val="00957CF9"/>
    <w:rsid w:val="00960806"/>
    <w:rsid w:val="0097012C"/>
    <w:rsid w:val="00976217"/>
    <w:rsid w:val="00981523"/>
    <w:rsid w:val="00991C03"/>
    <w:rsid w:val="009A15BA"/>
    <w:rsid w:val="009B216F"/>
    <w:rsid w:val="009B5F4E"/>
    <w:rsid w:val="009C63E2"/>
    <w:rsid w:val="00A00A04"/>
    <w:rsid w:val="00A037B0"/>
    <w:rsid w:val="00A06C9C"/>
    <w:rsid w:val="00A16BE6"/>
    <w:rsid w:val="00A37234"/>
    <w:rsid w:val="00A37DBD"/>
    <w:rsid w:val="00A422F0"/>
    <w:rsid w:val="00A63E9A"/>
    <w:rsid w:val="00A6721D"/>
    <w:rsid w:val="00A752BA"/>
    <w:rsid w:val="00A778CB"/>
    <w:rsid w:val="00A86E5C"/>
    <w:rsid w:val="00A97640"/>
    <w:rsid w:val="00AA05F8"/>
    <w:rsid w:val="00AA34CD"/>
    <w:rsid w:val="00AC3E9F"/>
    <w:rsid w:val="00AD1B3C"/>
    <w:rsid w:val="00AE208F"/>
    <w:rsid w:val="00AE40F7"/>
    <w:rsid w:val="00B325EF"/>
    <w:rsid w:val="00B529DF"/>
    <w:rsid w:val="00B8352E"/>
    <w:rsid w:val="00B92E4F"/>
    <w:rsid w:val="00B94D4D"/>
    <w:rsid w:val="00BA5FEA"/>
    <w:rsid w:val="00BD3475"/>
    <w:rsid w:val="00BD38C0"/>
    <w:rsid w:val="00BD72FC"/>
    <w:rsid w:val="00BE6C22"/>
    <w:rsid w:val="00C00122"/>
    <w:rsid w:val="00C05E3D"/>
    <w:rsid w:val="00C07DFF"/>
    <w:rsid w:val="00C1616D"/>
    <w:rsid w:val="00C201DD"/>
    <w:rsid w:val="00C21100"/>
    <w:rsid w:val="00C3307B"/>
    <w:rsid w:val="00C330BF"/>
    <w:rsid w:val="00C34431"/>
    <w:rsid w:val="00C413EE"/>
    <w:rsid w:val="00C43539"/>
    <w:rsid w:val="00C518A6"/>
    <w:rsid w:val="00C5201E"/>
    <w:rsid w:val="00C62907"/>
    <w:rsid w:val="00C670F8"/>
    <w:rsid w:val="00C72660"/>
    <w:rsid w:val="00C81327"/>
    <w:rsid w:val="00C866C5"/>
    <w:rsid w:val="00C96A06"/>
    <w:rsid w:val="00CA26D6"/>
    <w:rsid w:val="00CA33A3"/>
    <w:rsid w:val="00CB699E"/>
    <w:rsid w:val="00CD2F55"/>
    <w:rsid w:val="00CE4F7F"/>
    <w:rsid w:val="00D204E3"/>
    <w:rsid w:val="00D24FE2"/>
    <w:rsid w:val="00D45586"/>
    <w:rsid w:val="00D604A8"/>
    <w:rsid w:val="00D966D5"/>
    <w:rsid w:val="00DC60D3"/>
    <w:rsid w:val="00DD466A"/>
    <w:rsid w:val="00DD7D45"/>
    <w:rsid w:val="00DE35D4"/>
    <w:rsid w:val="00DF085D"/>
    <w:rsid w:val="00DF5F5A"/>
    <w:rsid w:val="00E01191"/>
    <w:rsid w:val="00E13383"/>
    <w:rsid w:val="00E1728F"/>
    <w:rsid w:val="00E236BA"/>
    <w:rsid w:val="00E24112"/>
    <w:rsid w:val="00E61B99"/>
    <w:rsid w:val="00E65071"/>
    <w:rsid w:val="00E76EC5"/>
    <w:rsid w:val="00E90EE0"/>
    <w:rsid w:val="00EA25EC"/>
    <w:rsid w:val="00EA3475"/>
    <w:rsid w:val="00EC5B1D"/>
    <w:rsid w:val="00EE0487"/>
    <w:rsid w:val="00EF0010"/>
    <w:rsid w:val="00EF0E11"/>
    <w:rsid w:val="00EF77B5"/>
    <w:rsid w:val="00F21F7A"/>
    <w:rsid w:val="00F25A0D"/>
    <w:rsid w:val="00F26F5C"/>
    <w:rsid w:val="00F356C5"/>
    <w:rsid w:val="00F41748"/>
    <w:rsid w:val="00F42776"/>
    <w:rsid w:val="00F50D71"/>
    <w:rsid w:val="00F57321"/>
    <w:rsid w:val="00F9182C"/>
    <w:rsid w:val="00F929D3"/>
    <w:rsid w:val="00F94AA4"/>
    <w:rsid w:val="00FD01EE"/>
    <w:rsid w:val="00FD69A3"/>
    <w:rsid w:val="00FD7345"/>
    <w:rsid w:val="00FE55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B323"/>
  <w15:chartTrackingRefBased/>
  <w15:docId w15:val="{9142DF2F-03DD-4EE5-8719-4A4B4554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3E9F"/>
    <w:pPr>
      <w:spacing w:line="260" w:lineRule="atLeast"/>
    </w:pPr>
    <w:rPr>
      <w:rFonts w:eastAsiaTheme="minorEastAsia" w:cs="Times New Roman (Body CS)"/>
      <w:color w:val="000000" w:themeColor="text1"/>
      <w:sz w:val="20"/>
      <w:lang w:val="en-GB"/>
    </w:rPr>
  </w:style>
  <w:style w:type="paragraph" w:styleId="Heading1">
    <w:name w:val="heading 1"/>
    <w:basedOn w:val="Normal"/>
    <w:next w:val="Normal"/>
    <w:link w:val="Heading1Char"/>
    <w:uiPriority w:val="9"/>
    <w:rsid w:val="004C7B3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rsid w:val="004C7B3D"/>
    <w:pPr>
      <w:keepNext/>
      <w:keepLines/>
      <w:spacing w:before="40"/>
      <w:outlineLvl w:val="1"/>
    </w:pPr>
    <w:rPr>
      <w:rFonts w:asciiTheme="majorHAnsi" w:eastAsiaTheme="majorEastAsia" w:hAnsiTheme="majorHAnsi" w:cstheme="majorBidi"/>
      <w:sz w:val="26"/>
      <w:szCs w:val="26"/>
    </w:rPr>
  </w:style>
  <w:style w:type="paragraph" w:styleId="Heading5">
    <w:name w:val="heading 5"/>
    <w:basedOn w:val="Normal"/>
    <w:next w:val="Normal"/>
    <w:link w:val="Heading5Char"/>
    <w:uiPriority w:val="9"/>
    <w:unhideWhenUsed/>
    <w:qFormat/>
    <w:rsid w:val="000C1F2D"/>
    <w:pPr>
      <w:keepNext/>
      <w:keepLines/>
      <w:spacing w:before="40" w:line="240" w:lineRule="auto"/>
      <w:outlineLvl w:val="4"/>
    </w:pPr>
    <w:rPr>
      <w:rFonts w:ascii="Times New Roman" w:eastAsiaTheme="majorEastAsia" w:hAnsi="Times New Roman" w:cstheme="majorBidi"/>
      <w:color w:val="8E0000"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E9F"/>
  </w:style>
  <w:style w:type="character" w:customStyle="1" w:styleId="HeaderChar">
    <w:name w:val="Header Char"/>
    <w:basedOn w:val="DefaultParagraphFont"/>
    <w:link w:val="Header"/>
    <w:uiPriority w:val="99"/>
    <w:rsid w:val="00AC3E9F"/>
    <w:rPr>
      <w:rFonts w:eastAsiaTheme="minorEastAsia" w:cs="Times New Roman (Body CS)"/>
      <w:color w:val="000000" w:themeColor="text1"/>
      <w:sz w:val="20"/>
    </w:rPr>
  </w:style>
  <w:style w:type="table" w:styleId="TableGrid">
    <w:name w:val="Table Grid"/>
    <w:basedOn w:val="TableNormal"/>
    <w:uiPriority w:val="59"/>
    <w:rsid w:val="00AC3E9F"/>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character" w:styleId="Hyperlink">
    <w:name w:val="Hyperlink"/>
    <w:basedOn w:val="DefaultParagraphFont"/>
    <w:uiPriority w:val="99"/>
    <w:unhideWhenUsed/>
    <w:rsid w:val="00AC3E9F"/>
    <w:rPr>
      <w:color w:val="000000" w:themeColor="text1"/>
      <w:u w:val="none"/>
    </w:rPr>
  </w:style>
  <w:style w:type="paragraph" w:styleId="ListParagraph">
    <w:name w:val="List Paragraph"/>
    <w:basedOn w:val="Normal"/>
    <w:uiPriority w:val="34"/>
    <w:qFormat/>
    <w:rsid w:val="00AC3E9F"/>
    <w:pPr>
      <w:ind w:left="720"/>
      <w:contextualSpacing/>
    </w:pPr>
  </w:style>
  <w:style w:type="character" w:styleId="FollowedHyperlink">
    <w:name w:val="FollowedHyperlink"/>
    <w:basedOn w:val="DefaultParagraphFont"/>
    <w:uiPriority w:val="99"/>
    <w:semiHidden/>
    <w:unhideWhenUsed/>
    <w:rsid w:val="00AC3E9F"/>
    <w:rPr>
      <w:color w:val="000000" w:themeColor="text1"/>
      <w:u w:val="none"/>
    </w:rPr>
  </w:style>
  <w:style w:type="paragraph" w:customStyle="1" w:styleId="Bullets">
    <w:name w:val="Bullets"/>
    <w:basedOn w:val="ListParagraph"/>
    <w:uiPriority w:val="9"/>
    <w:qFormat/>
    <w:rsid w:val="00AC3E9F"/>
    <w:pPr>
      <w:numPr>
        <w:numId w:val="5"/>
      </w:numPr>
    </w:pPr>
  </w:style>
  <w:style w:type="character" w:styleId="PageNumber">
    <w:name w:val="page number"/>
    <w:basedOn w:val="DefaultParagraphFont"/>
    <w:uiPriority w:val="99"/>
    <w:semiHidden/>
    <w:unhideWhenUsed/>
    <w:rsid w:val="0048255F"/>
  </w:style>
  <w:style w:type="character" w:customStyle="1" w:styleId="Heading1Char">
    <w:name w:val="Heading 1 Char"/>
    <w:basedOn w:val="DefaultParagraphFont"/>
    <w:link w:val="Heading1"/>
    <w:uiPriority w:val="9"/>
    <w:rsid w:val="004C7B3D"/>
    <w:rPr>
      <w:rFonts w:asciiTheme="majorHAnsi" w:eastAsiaTheme="majorEastAsia" w:hAnsiTheme="majorHAnsi" w:cstheme="majorBidi"/>
      <w:color w:val="000000" w:themeColor="text1"/>
      <w:sz w:val="32"/>
      <w:szCs w:val="32"/>
    </w:rPr>
  </w:style>
  <w:style w:type="paragraph" w:styleId="Footer">
    <w:name w:val="footer"/>
    <w:basedOn w:val="Normal"/>
    <w:link w:val="FooterChar"/>
    <w:uiPriority w:val="99"/>
    <w:unhideWhenUsed/>
    <w:rsid w:val="00E01191"/>
    <w:pPr>
      <w:tabs>
        <w:tab w:val="center" w:pos="4680"/>
        <w:tab w:val="right" w:pos="9360"/>
      </w:tabs>
      <w:spacing w:line="240" w:lineRule="auto"/>
    </w:pPr>
  </w:style>
  <w:style w:type="character" w:customStyle="1" w:styleId="FooterChar">
    <w:name w:val="Footer Char"/>
    <w:basedOn w:val="DefaultParagraphFont"/>
    <w:link w:val="Footer"/>
    <w:uiPriority w:val="99"/>
    <w:rsid w:val="00E01191"/>
    <w:rPr>
      <w:rFonts w:eastAsiaTheme="minorEastAsia" w:cs="Times New Roman (Body CS)"/>
      <w:color w:val="000000" w:themeColor="text1"/>
      <w:sz w:val="20"/>
    </w:rPr>
  </w:style>
  <w:style w:type="character" w:customStyle="1" w:styleId="Heading2Char">
    <w:name w:val="Heading 2 Char"/>
    <w:basedOn w:val="DefaultParagraphFont"/>
    <w:link w:val="Heading2"/>
    <w:uiPriority w:val="9"/>
    <w:rsid w:val="004C7B3D"/>
    <w:rPr>
      <w:rFonts w:asciiTheme="majorHAnsi" w:eastAsiaTheme="majorEastAsia" w:hAnsiTheme="majorHAnsi" w:cstheme="majorBidi"/>
      <w:color w:val="000000" w:themeColor="text1"/>
      <w:sz w:val="26"/>
      <w:szCs w:val="26"/>
    </w:rPr>
  </w:style>
  <w:style w:type="paragraph" w:styleId="FootnoteText">
    <w:name w:val="footnote text"/>
    <w:basedOn w:val="Normal"/>
    <w:link w:val="FootnoteTextChar"/>
    <w:uiPriority w:val="99"/>
    <w:semiHidden/>
    <w:unhideWhenUsed/>
    <w:rsid w:val="00A63E9A"/>
    <w:pPr>
      <w:spacing w:line="240" w:lineRule="auto"/>
    </w:pPr>
    <w:rPr>
      <w:rFonts w:ascii="Times New Roman" w:eastAsia="Times New Roman" w:hAnsi="Times New Roman" w:cs="Times New Roman"/>
      <w:color w:val="auto"/>
      <w:sz w:val="24"/>
      <w:szCs w:val="20"/>
      <w:lang w:eastAsia="ja-JP"/>
    </w:rPr>
  </w:style>
  <w:style w:type="character" w:customStyle="1" w:styleId="FootnoteTextChar">
    <w:name w:val="Footnote Text Char"/>
    <w:basedOn w:val="DefaultParagraphFont"/>
    <w:link w:val="FootnoteText"/>
    <w:uiPriority w:val="99"/>
    <w:semiHidden/>
    <w:rsid w:val="00A63E9A"/>
    <w:rPr>
      <w:rFonts w:ascii="Times New Roman" w:eastAsia="Times New Roman" w:hAnsi="Times New Roman" w:cs="Times New Roman"/>
      <w:szCs w:val="20"/>
      <w:lang w:val="en-GB" w:eastAsia="ja-JP"/>
    </w:rPr>
  </w:style>
  <w:style w:type="character" w:styleId="FootnoteReference">
    <w:name w:val="footnote reference"/>
    <w:basedOn w:val="DefaultParagraphFont"/>
    <w:uiPriority w:val="99"/>
    <w:semiHidden/>
    <w:unhideWhenUsed/>
    <w:rsid w:val="00A63E9A"/>
    <w:rPr>
      <w:vertAlign w:val="superscript"/>
    </w:rPr>
  </w:style>
  <w:style w:type="table" w:customStyle="1" w:styleId="TableGrid1">
    <w:name w:val="Table Grid1"/>
    <w:basedOn w:val="TableNormal"/>
    <w:next w:val="TableGrid"/>
    <w:uiPriority w:val="59"/>
    <w:rsid w:val="009003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C1F2D"/>
    <w:rPr>
      <w:rFonts w:ascii="Times New Roman" w:eastAsiaTheme="majorEastAsia" w:hAnsi="Times New Roman" w:cstheme="majorBidi"/>
      <w:color w:val="8E0000" w:themeColor="accent1" w:themeShade="80"/>
      <w:lang w:val="en-GB" w:eastAsia="ja-JP"/>
    </w:rPr>
  </w:style>
  <w:style w:type="table" w:customStyle="1" w:styleId="TableGrid2">
    <w:name w:val="Table Grid2"/>
    <w:basedOn w:val="TableNormal"/>
    <w:next w:val="TableGrid"/>
    <w:uiPriority w:val="59"/>
    <w:rsid w:val="0083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47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n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ee@borgwarne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phinia_interim_theme">
  <a:themeElements>
    <a:clrScheme name="Phinia Interim">
      <a:dk1>
        <a:srgbClr val="000000"/>
      </a:dk1>
      <a:lt1>
        <a:srgbClr val="FFFFFF"/>
      </a:lt1>
      <a:dk2>
        <a:srgbClr val="000000"/>
      </a:dk2>
      <a:lt2>
        <a:srgbClr val="FFFFFF"/>
      </a:lt2>
      <a:accent1>
        <a:srgbClr val="FF1D1D"/>
      </a:accent1>
      <a:accent2>
        <a:srgbClr val="000000"/>
      </a:accent2>
      <a:accent3>
        <a:srgbClr val="B3B3B3"/>
      </a:accent3>
      <a:accent4>
        <a:srgbClr val="541C3E"/>
      </a:accent4>
      <a:accent5>
        <a:srgbClr val="808080"/>
      </a:accent5>
      <a:accent6>
        <a:srgbClr val="E6E6E6"/>
      </a:accent6>
      <a:hlink>
        <a:srgbClr val="000000"/>
      </a:hlink>
      <a:folHlink>
        <a:srgbClr val="000000"/>
      </a:folHlink>
    </a:clrScheme>
    <a:fontScheme name="Phinia">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182880" tIns="91440" rIns="182880" bIns="91440" rtlCol="0" anchor="t" anchorCtr="0"/>
      <a:lstStyle>
        <a:defPPr algn="l">
          <a:spcAft>
            <a:spcPts val="600"/>
          </a:spcAft>
          <a:defRPr sz="160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spcAft>
            <a:spcPts val="600"/>
          </a:spcAft>
          <a:defRPr sz="1600"/>
        </a:defPPr>
      </a:lstStyle>
    </a:txDef>
  </a:objectDefaults>
  <a:extraClrSchemeLst/>
  <a:extLst>
    <a:ext uri="{05A4C25C-085E-4340-85A3-A5531E510DB2}">
      <thm15:themeFamily xmlns:thm15="http://schemas.microsoft.com/office/thememl/2012/main" name="phinia_interim_theme" id="{B96E3647-C72F-D448-AB7D-DA87AEBA4852}" vid="{FB292747-CB2B-C148-A5CD-E0DCF4C4AA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2CEC5E497394FB33063086D896B35" ma:contentTypeVersion="14" ma:contentTypeDescription="Create a new document." ma:contentTypeScope="" ma:versionID="4892d283f5861051ed3e40e02f30cb8d">
  <xsd:schema xmlns:xsd="http://www.w3.org/2001/XMLSchema" xmlns:xs="http://www.w3.org/2001/XMLSchema" xmlns:p="http://schemas.microsoft.com/office/2006/metadata/properties" xmlns:ns2="54d553cb-18dd-42b2-bdd1-dafea9be4093" xmlns:ns3="3dcf2eb7-5e35-4416-9b32-7f612068c15d" targetNamespace="http://schemas.microsoft.com/office/2006/metadata/properties" ma:root="true" ma:fieldsID="9cb9d6351d9003530ff6da29486ebd4f" ns2:_="" ns3:_="">
    <xsd:import namespace="54d553cb-18dd-42b2-bdd1-dafea9be4093"/>
    <xsd:import namespace="3dcf2eb7-5e35-4416-9b32-7f612068c1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553cb-18dd-42b2-bdd1-dafea9be4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6132ae4-778c-4f2e-8eff-e4d65b784e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f2eb7-5e35-4416-9b32-7f612068c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fba73b-93d7-424e-8b2f-1e640314e395}" ma:internalName="TaxCatchAll" ma:showField="CatchAllData" ma:web="3dcf2eb7-5e35-4416-9b32-7f612068c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cf2eb7-5e35-4416-9b32-7f612068c15d" xsi:nil="true"/>
    <lcf76f155ced4ddcb4097134ff3c332f xmlns="54d553cb-18dd-42b2-bdd1-dafea9be40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BCE32-8BFB-4DBC-A586-AAA473B3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553cb-18dd-42b2-bdd1-dafea9be4093"/>
    <ds:schemaRef ds:uri="3dcf2eb7-5e35-4416-9b32-7f612068c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80656-4C8A-4BF7-95A2-464340AC45B8}">
  <ds:schemaRefs>
    <ds:schemaRef ds:uri="54d553cb-18dd-42b2-bdd1-dafea9be409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dcf2eb7-5e35-4416-9b32-7f612068c15d"/>
    <ds:schemaRef ds:uri="http://www.w3.org/XML/1998/namespace"/>
    <ds:schemaRef ds:uri="http://purl.org/dc/dcmitype/"/>
  </ds:schemaRefs>
</ds:datastoreItem>
</file>

<file path=customXml/itemProps3.xml><?xml version="1.0" encoding="utf-8"?>
<ds:datastoreItem xmlns:ds="http://schemas.openxmlformats.org/officeDocument/2006/customXml" ds:itemID="{119BA364-607B-0440-BBA7-5767718A9024}">
  <ds:schemaRefs>
    <ds:schemaRef ds:uri="http://schemas.openxmlformats.org/officeDocument/2006/bibliography"/>
  </ds:schemaRefs>
</ds:datastoreItem>
</file>

<file path=customXml/itemProps4.xml><?xml version="1.0" encoding="utf-8"?>
<ds:datastoreItem xmlns:ds="http://schemas.openxmlformats.org/officeDocument/2006/customXml" ds:itemID="{4440050F-4771-4670-AE4A-32ED42DC0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PHINIA</vt:lpstr>
    </vt:vector>
  </TitlesOfParts>
  <Manager/>
  <Company>PHINIA</Company>
  <LinksUpToDate>false</LinksUpToDate>
  <CharactersWithSpaces>8331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PHINIA</dc:title>
  <dc:subject/>
  <dc:creator>Lees, Cherrie</dc:creator>
  <cp:keywords/>
  <dc:description/>
  <cp:lastModifiedBy>Tatum, Georgina (Gillingham)</cp:lastModifiedBy>
  <cp:revision>7</cp:revision>
  <cp:lastPrinted>2023-12-13T13:37:00Z</cp:lastPrinted>
  <dcterms:created xsi:type="dcterms:W3CDTF">2024-03-04T11:55:00Z</dcterms:created>
  <dcterms:modified xsi:type="dcterms:W3CDTF">2024-04-08T10:42:00Z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0x01010011C2CEC5E497394FB33063086D896B35</vt:lpwstr>
  </property>
</Properties>
</file>